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37662" w14:textId="77777777" w:rsidR="0065732F" w:rsidRPr="0056111A" w:rsidRDefault="00383D99" w:rsidP="003C0F55">
      <w:pPr>
        <w:spacing w:after="0" w:line="240" w:lineRule="auto"/>
        <w:rPr>
          <w:rFonts w:ascii="Arial" w:hAnsi="Arial" w:cs="Arial"/>
          <w:b/>
        </w:rPr>
      </w:pPr>
      <w:r w:rsidRPr="0056111A">
        <w:rPr>
          <w:rFonts w:ascii="Arial" w:hAnsi="Arial" w:cs="Arial"/>
          <w:b/>
        </w:rPr>
        <w:t xml:space="preserve">Better Environmental Regulation Newsletter – </w:t>
      </w:r>
      <w:r w:rsidR="00EB0895">
        <w:rPr>
          <w:rFonts w:ascii="Arial" w:hAnsi="Arial" w:cs="Arial"/>
          <w:b/>
        </w:rPr>
        <w:t>February</w:t>
      </w:r>
      <w:r w:rsidRPr="0056111A">
        <w:rPr>
          <w:rFonts w:ascii="Arial" w:hAnsi="Arial" w:cs="Arial"/>
          <w:b/>
        </w:rPr>
        <w:t xml:space="preserve"> 2017 </w:t>
      </w:r>
    </w:p>
    <w:p w14:paraId="772176DF" w14:textId="77777777" w:rsidR="003C0F55" w:rsidRPr="0056111A" w:rsidRDefault="003C0F55" w:rsidP="003C0F55">
      <w:pPr>
        <w:spacing w:after="0" w:line="240" w:lineRule="auto"/>
        <w:rPr>
          <w:rFonts w:ascii="Arial" w:hAnsi="Arial" w:cs="Arial"/>
        </w:rPr>
      </w:pPr>
    </w:p>
    <w:p w14:paraId="59DA5115" w14:textId="77777777" w:rsidR="00383D99" w:rsidRPr="0056111A" w:rsidRDefault="00383D99" w:rsidP="003C0F55">
      <w:pPr>
        <w:spacing w:after="0" w:line="240" w:lineRule="auto"/>
        <w:rPr>
          <w:rFonts w:ascii="Arial" w:hAnsi="Arial" w:cs="Arial"/>
        </w:rPr>
      </w:pPr>
      <w:r w:rsidRPr="0056111A">
        <w:rPr>
          <w:rFonts w:ascii="Arial" w:hAnsi="Arial" w:cs="Arial"/>
        </w:rPr>
        <w:t xml:space="preserve">This is our </w:t>
      </w:r>
      <w:bookmarkStart w:id="0" w:name="_GoBack"/>
      <w:r w:rsidRPr="0056111A">
        <w:rPr>
          <w:rFonts w:ascii="Arial" w:hAnsi="Arial" w:cs="Arial"/>
        </w:rPr>
        <w:t xml:space="preserve">latest newsletter on the Better Environmental Regulation (BER) programme and provides an update on progress and our </w:t>
      </w:r>
      <w:proofErr w:type="gramStart"/>
      <w:r w:rsidRPr="0056111A">
        <w:rPr>
          <w:rFonts w:ascii="Arial" w:hAnsi="Arial" w:cs="Arial"/>
        </w:rPr>
        <w:t>future plans</w:t>
      </w:r>
      <w:bookmarkEnd w:id="0"/>
      <w:proofErr w:type="gramEnd"/>
      <w:r w:rsidRPr="0056111A">
        <w:rPr>
          <w:rFonts w:ascii="Arial" w:hAnsi="Arial" w:cs="Arial"/>
        </w:rPr>
        <w:t>.</w:t>
      </w:r>
    </w:p>
    <w:p w14:paraId="27656713" w14:textId="77777777" w:rsidR="003A14B3" w:rsidRPr="0056111A" w:rsidRDefault="003A14B3" w:rsidP="003C0F55">
      <w:pPr>
        <w:spacing w:after="0" w:line="240" w:lineRule="auto"/>
        <w:rPr>
          <w:rFonts w:ascii="Arial" w:hAnsi="Arial" w:cs="Arial"/>
        </w:rPr>
      </w:pPr>
    </w:p>
    <w:p w14:paraId="78301293" w14:textId="77777777" w:rsidR="003A14B3" w:rsidRPr="0056111A" w:rsidRDefault="003A14B3" w:rsidP="003A14B3">
      <w:pPr>
        <w:spacing w:after="0" w:line="240" w:lineRule="auto"/>
        <w:rPr>
          <w:rFonts w:ascii="Arial" w:hAnsi="Arial" w:cs="Arial"/>
        </w:rPr>
      </w:pPr>
      <w:r w:rsidRPr="0056111A">
        <w:rPr>
          <w:rFonts w:ascii="Arial" w:hAnsi="Arial" w:cs="Arial"/>
        </w:rPr>
        <w:t>Our next round of stakeholder meetings kick</w:t>
      </w:r>
      <w:r w:rsidR="00884C50">
        <w:rPr>
          <w:rFonts w:ascii="Arial" w:hAnsi="Arial" w:cs="Arial"/>
        </w:rPr>
        <w:t>ed</w:t>
      </w:r>
      <w:r w:rsidRPr="0056111A">
        <w:rPr>
          <w:rFonts w:ascii="Arial" w:hAnsi="Arial" w:cs="Arial"/>
        </w:rPr>
        <w:t xml:space="preserve"> off in February with two general events </w:t>
      </w:r>
      <w:proofErr w:type="gramStart"/>
      <w:r w:rsidR="00BC6053">
        <w:rPr>
          <w:rFonts w:ascii="Arial" w:hAnsi="Arial" w:cs="Arial"/>
        </w:rPr>
        <w:t xml:space="preserve">on </w:t>
      </w:r>
      <w:r w:rsidRPr="0056111A">
        <w:rPr>
          <w:rFonts w:ascii="Arial" w:hAnsi="Arial" w:cs="Arial"/>
        </w:rPr>
        <w:t xml:space="preserve"> 27</w:t>
      </w:r>
      <w:proofErr w:type="gramEnd"/>
      <w:r w:rsidRPr="0056111A">
        <w:rPr>
          <w:rFonts w:ascii="Arial" w:hAnsi="Arial" w:cs="Arial"/>
          <w:vertAlign w:val="superscript"/>
        </w:rPr>
        <w:t>th</w:t>
      </w:r>
      <w:r w:rsidRPr="0056111A">
        <w:rPr>
          <w:rFonts w:ascii="Arial" w:hAnsi="Arial" w:cs="Arial"/>
        </w:rPr>
        <w:t xml:space="preserve"> February and 1</w:t>
      </w:r>
      <w:r w:rsidRPr="0056111A">
        <w:rPr>
          <w:rFonts w:ascii="Arial" w:hAnsi="Arial" w:cs="Arial"/>
          <w:vertAlign w:val="superscript"/>
        </w:rPr>
        <w:t>st</w:t>
      </w:r>
      <w:r w:rsidRPr="0056111A">
        <w:rPr>
          <w:rFonts w:ascii="Arial" w:hAnsi="Arial" w:cs="Arial"/>
        </w:rPr>
        <w:t xml:space="preserve"> March.  Further sector specific events are also being planned. These events will provide an update and enable stakeholders to input to the ongoing development of the different components of the programme.</w:t>
      </w:r>
    </w:p>
    <w:p w14:paraId="674586F6" w14:textId="77777777" w:rsidR="003C0F55" w:rsidRPr="0056111A" w:rsidRDefault="003C0F55" w:rsidP="003C0F55">
      <w:pPr>
        <w:spacing w:after="0" w:line="240" w:lineRule="auto"/>
        <w:rPr>
          <w:rFonts w:ascii="Arial" w:hAnsi="Arial" w:cs="Arial"/>
          <w:b/>
        </w:rPr>
      </w:pPr>
    </w:p>
    <w:p w14:paraId="71578B6B" w14:textId="77777777" w:rsidR="00383D99" w:rsidRPr="0056111A" w:rsidRDefault="00383D99" w:rsidP="003C0F55">
      <w:pPr>
        <w:spacing w:after="0" w:line="240" w:lineRule="auto"/>
        <w:rPr>
          <w:rFonts w:ascii="Arial" w:hAnsi="Arial" w:cs="Arial"/>
          <w:b/>
        </w:rPr>
      </w:pPr>
      <w:r w:rsidRPr="0056111A">
        <w:rPr>
          <w:rFonts w:ascii="Arial" w:hAnsi="Arial" w:cs="Arial"/>
          <w:b/>
        </w:rPr>
        <w:t>Integrated Authorisation Framework</w:t>
      </w:r>
    </w:p>
    <w:p w14:paraId="468C71F8" w14:textId="77777777" w:rsidR="005035D0" w:rsidRPr="0056111A" w:rsidRDefault="00383D99" w:rsidP="003C0F55">
      <w:pPr>
        <w:spacing w:after="0" w:line="240" w:lineRule="auto"/>
        <w:rPr>
          <w:rFonts w:ascii="Arial" w:hAnsi="Arial" w:cs="Arial"/>
        </w:rPr>
      </w:pPr>
      <w:r w:rsidRPr="0056111A">
        <w:rPr>
          <w:rFonts w:ascii="Arial" w:hAnsi="Arial" w:cs="Arial"/>
        </w:rPr>
        <w:t xml:space="preserve">On </w:t>
      </w:r>
      <w:proofErr w:type="gramStart"/>
      <w:r w:rsidRPr="0056111A">
        <w:rPr>
          <w:rFonts w:ascii="Arial" w:hAnsi="Arial" w:cs="Arial"/>
        </w:rPr>
        <w:t>12</w:t>
      </w:r>
      <w:r w:rsidRPr="0056111A">
        <w:rPr>
          <w:rFonts w:ascii="Arial" w:hAnsi="Arial" w:cs="Arial"/>
          <w:vertAlign w:val="superscript"/>
        </w:rPr>
        <w:t>th</w:t>
      </w:r>
      <w:r w:rsidRPr="0056111A">
        <w:rPr>
          <w:rFonts w:ascii="Arial" w:hAnsi="Arial" w:cs="Arial"/>
        </w:rPr>
        <w:t xml:space="preserve"> January 2017</w:t>
      </w:r>
      <w:proofErr w:type="gramEnd"/>
      <w:r w:rsidRPr="0056111A">
        <w:rPr>
          <w:rFonts w:ascii="Arial" w:hAnsi="Arial" w:cs="Arial"/>
        </w:rPr>
        <w:t xml:space="preserve"> we published a joint consultation on </w:t>
      </w:r>
      <w:hyperlink r:id="rId5" w:history="1">
        <w:r w:rsidRPr="0056111A">
          <w:rPr>
            <w:rStyle w:val="Hyperlink"/>
            <w:rFonts w:ascii="Arial" w:hAnsi="Arial" w:cs="Arial"/>
          </w:rPr>
          <w:t>proposals for a new in</w:t>
        </w:r>
        <w:r w:rsidR="005035D0" w:rsidRPr="0056111A">
          <w:rPr>
            <w:rStyle w:val="Hyperlink"/>
            <w:rFonts w:ascii="Arial" w:hAnsi="Arial" w:cs="Arial"/>
          </w:rPr>
          <w:t>tegrated authorisation framework</w:t>
        </w:r>
      </w:hyperlink>
      <w:r w:rsidR="005035D0" w:rsidRPr="0056111A">
        <w:rPr>
          <w:rFonts w:ascii="Arial" w:hAnsi="Arial" w:cs="Arial"/>
        </w:rPr>
        <w:t>.  The consultation explains how we propose to simplify, streamline and integrate the existing environmental authorisation regimes.  Key proposals in the consultation include:</w:t>
      </w:r>
    </w:p>
    <w:p w14:paraId="14FD18BA" w14:textId="77777777" w:rsidR="005035D0" w:rsidRPr="0056111A" w:rsidRDefault="005035D0" w:rsidP="003C0F55">
      <w:pPr>
        <w:pStyle w:val="ListParagraph"/>
        <w:numPr>
          <w:ilvl w:val="0"/>
          <w:numId w:val="1"/>
        </w:numPr>
        <w:spacing w:after="0" w:line="240" w:lineRule="auto"/>
        <w:rPr>
          <w:rFonts w:ascii="Arial" w:hAnsi="Arial" w:cs="Arial"/>
        </w:rPr>
      </w:pPr>
      <w:r w:rsidRPr="0056111A">
        <w:rPr>
          <w:rFonts w:ascii="Arial" w:hAnsi="Arial" w:cs="Arial"/>
        </w:rPr>
        <w:t>Integration of the authorisation, procedural and enforcement arrangements for existing regimes relating to water, waste, radioactive substances and p</w:t>
      </w:r>
      <w:r w:rsidR="00AC2469" w:rsidRPr="0056111A">
        <w:rPr>
          <w:rFonts w:ascii="Arial" w:hAnsi="Arial" w:cs="Arial"/>
        </w:rPr>
        <w:t>ollution prevention and control;</w:t>
      </w:r>
    </w:p>
    <w:p w14:paraId="4CAA650C" w14:textId="77777777" w:rsidR="005035D0" w:rsidRPr="0056111A" w:rsidRDefault="005035D0" w:rsidP="003C0F55">
      <w:pPr>
        <w:pStyle w:val="ListParagraph"/>
        <w:numPr>
          <w:ilvl w:val="0"/>
          <w:numId w:val="1"/>
        </w:numPr>
        <w:spacing w:after="0" w:line="240" w:lineRule="auto"/>
        <w:rPr>
          <w:rFonts w:ascii="Arial" w:hAnsi="Arial" w:cs="Arial"/>
        </w:rPr>
      </w:pPr>
      <w:r w:rsidRPr="0056111A">
        <w:rPr>
          <w:rFonts w:ascii="Arial" w:hAnsi="Arial" w:cs="Arial"/>
        </w:rPr>
        <w:t>Standardisation of authorisation tiers across those regimes</w:t>
      </w:r>
      <w:r w:rsidR="00AC2469" w:rsidRPr="0056111A">
        <w:rPr>
          <w:rFonts w:ascii="Arial" w:hAnsi="Arial" w:cs="Arial"/>
        </w:rPr>
        <w:t>, with regulated activities authorised at the lowest appropriate level;</w:t>
      </w:r>
    </w:p>
    <w:p w14:paraId="3FF35028" w14:textId="77777777" w:rsidR="003A14B3" w:rsidRPr="0056111A" w:rsidRDefault="00AC2469" w:rsidP="003C0F55">
      <w:pPr>
        <w:pStyle w:val="ListParagraph"/>
        <w:numPr>
          <w:ilvl w:val="0"/>
          <w:numId w:val="1"/>
        </w:numPr>
        <w:spacing w:after="0" w:line="240" w:lineRule="auto"/>
        <w:rPr>
          <w:rFonts w:ascii="Arial" w:hAnsi="Arial" w:cs="Arial"/>
        </w:rPr>
      </w:pPr>
      <w:r w:rsidRPr="0056111A">
        <w:rPr>
          <w:rFonts w:ascii="Arial" w:hAnsi="Arial" w:cs="Arial"/>
        </w:rPr>
        <w:t>Establishment of simple universal environmental outcomes</w:t>
      </w:r>
      <w:r w:rsidR="003A14B3" w:rsidRPr="0056111A">
        <w:rPr>
          <w:rFonts w:ascii="Arial" w:hAnsi="Arial" w:cs="Arial"/>
        </w:rPr>
        <w:t xml:space="preserve">: </w:t>
      </w:r>
    </w:p>
    <w:p w14:paraId="7456DD5A" w14:textId="77777777" w:rsidR="003A14B3" w:rsidRPr="0056111A" w:rsidRDefault="003A14B3" w:rsidP="003A14B3">
      <w:pPr>
        <w:pStyle w:val="ListParagraph"/>
        <w:numPr>
          <w:ilvl w:val="1"/>
          <w:numId w:val="1"/>
        </w:numPr>
        <w:spacing w:after="0" w:line="240" w:lineRule="auto"/>
        <w:rPr>
          <w:rFonts w:ascii="Arial" w:hAnsi="Arial" w:cs="Arial"/>
        </w:rPr>
      </w:pPr>
      <w:r w:rsidRPr="0056111A">
        <w:rPr>
          <w:rFonts w:ascii="Arial" w:hAnsi="Arial" w:cs="Arial"/>
        </w:rPr>
        <w:t>to prevent harm;</w:t>
      </w:r>
    </w:p>
    <w:p w14:paraId="4376C932" w14:textId="77777777" w:rsidR="003A14B3" w:rsidRPr="0056111A" w:rsidRDefault="00AC2469" w:rsidP="003A14B3">
      <w:pPr>
        <w:pStyle w:val="ListParagraph"/>
        <w:numPr>
          <w:ilvl w:val="1"/>
          <w:numId w:val="1"/>
        </w:numPr>
        <w:spacing w:after="0" w:line="240" w:lineRule="auto"/>
        <w:rPr>
          <w:rFonts w:ascii="Arial" w:hAnsi="Arial" w:cs="Arial"/>
        </w:rPr>
      </w:pPr>
      <w:r w:rsidRPr="0056111A">
        <w:rPr>
          <w:rFonts w:ascii="Arial" w:hAnsi="Arial" w:cs="Arial"/>
        </w:rPr>
        <w:t>to use resources sustainably</w:t>
      </w:r>
      <w:r w:rsidR="003A14B3" w:rsidRPr="0056111A">
        <w:rPr>
          <w:rFonts w:ascii="Arial" w:hAnsi="Arial" w:cs="Arial"/>
        </w:rPr>
        <w:t>;</w:t>
      </w:r>
      <w:r w:rsidRPr="0056111A">
        <w:rPr>
          <w:rFonts w:ascii="Arial" w:hAnsi="Arial" w:cs="Arial"/>
        </w:rPr>
        <w:t xml:space="preserve"> and </w:t>
      </w:r>
    </w:p>
    <w:p w14:paraId="3F11549D" w14:textId="77777777" w:rsidR="00AC2469" w:rsidRPr="0056111A" w:rsidRDefault="00AC2469" w:rsidP="003A14B3">
      <w:pPr>
        <w:pStyle w:val="ListParagraph"/>
        <w:numPr>
          <w:ilvl w:val="1"/>
          <w:numId w:val="1"/>
        </w:numPr>
        <w:spacing w:after="0" w:line="240" w:lineRule="auto"/>
        <w:rPr>
          <w:rFonts w:ascii="Arial" w:hAnsi="Arial" w:cs="Arial"/>
        </w:rPr>
      </w:pPr>
      <w:r w:rsidRPr="0056111A">
        <w:rPr>
          <w:rFonts w:ascii="Arial" w:hAnsi="Arial" w:cs="Arial"/>
        </w:rPr>
        <w:t>to prevent incidents and acci</w:t>
      </w:r>
      <w:r w:rsidR="003A14B3" w:rsidRPr="0056111A">
        <w:rPr>
          <w:rFonts w:ascii="Arial" w:hAnsi="Arial" w:cs="Arial"/>
        </w:rPr>
        <w:t>dents</w:t>
      </w:r>
      <w:r w:rsidRPr="0056111A">
        <w:rPr>
          <w:rFonts w:ascii="Arial" w:hAnsi="Arial" w:cs="Arial"/>
        </w:rPr>
        <w:t>;</w:t>
      </w:r>
    </w:p>
    <w:p w14:paraId="16E7CF86" w14:textId="77777777" w:rsidR="00AC2469" w:rsidRPr="0056111A" w:rsidRDefault="00A136E9" w:rsidP="003C0F55">
      <w:pPr>
        <w:pStyle w:val="ListParagraph"/>
        <w:numPr>
          <w:ilvl w:val="0"/>
          <w:numId w:val="1"/>
        </w:numPr>
        <w:spacing w:after="0" w:line="240" w:lineRule="auto"/>
        <w:rPr>
          <w:rFonts w:ascii="Arial" w:hAnsi="Arial" w:cs="Arial"/>
        </w:rPr>
      </w:pPr>
      <w:r w:rsidRPr="0056111A">
        <w:rPr>
          <w:rFonts w:ascii="Arial" w:hAnsi="Arial" w:cs="Arial"/>
        </w:rPr>
        <w:t>Simplification and standardisation of the process for obtaining, modifying, transferring or surrendering authorisations across the existing regimes;</w:t>
      </w:r>
    </w:p>
    <w:p w14:paraId="5610FBE7" w14:textId="77777777" w:rsidR="00A136E9" w:rsidRPr="0056111A" w:rsidRDefault="00A136E9" w:rsidP="003C0F55">
      <w:pPr>
        <w:pStyle w:val="ListParagraph"/>
        <w:numPr>
          <w:ilvl w:val="0"/>
          <w:numId w:val="1"/>
        </w:numPr>
        <w:spacing w:after="0" w:line="240" w:lineRule="auto"/>
        <w:rPr>
          <w:rFonts w:ascii="Arial" w:hAnsi="Arial" w:cs="Arial"/>
        </w:rPr>
      </w:pPr>
      <w:r w:rsidRPr="0056111A">
        <w:rPr>
          <w:rFonts w:ascii="Arial" w:hAnsi="Arial" w:cs="Arial"/>
        </w:rPr>
        <w:t xml:space="preserve">A </w:t>
      </w:r>
      <w:r w:rsidR="009B78BE">
        <w:rPr>
          <w:rFonts w:ascii="Arial" w:hAnsi="Arial" w:cs="Arial"/>
        </w:rPr>
        <w:t>new</w:t>
      </w:r>
      <w:r w:rsidRPr="0056111A">
        <w:rPr>
          <w:rFonts w:ascii="Arial" w:hAnsi="Arial" w:cs="Arial"/>
        </w:rPr>
        <w:t xml:space="preserve"> Fit and Proper Person test across the existing regimes;</w:t>
      </w:r>
    </w:p>
    <w:p w14:paraId="649CBDE8" w14:textId="77777777" w:rsidR="00A136E9" w:rsidRPr="0056111A" w:rsidRDefault="003C0F55" w:rsidP="003C0F55">
      <w:pPr>
        <w:pStyle w:val="ListParagraph"/>
        <w:numPr>
          <w:ilvl w:val="0"/>
          <w:numId w:val="1"/>
        </w:numPr>
        <w:spacing w:after="0" w:line="240" w:lineRule="auto"/>
        <w:rPr>
          <w:rFonts w:ascii="Arial" w:hAnsi="Arial" w:cs="Arial"/>
        </w:rPr>
      </w:pPr>
      <w:r w:rsidRPr="0056111A">
        <w:rPr>
          <w:rFonts w:ascii="Arial" w:hAnsi="Arial" w:cs="Arial"/>
        </w:rPr>
        <w:t>Consistent and flexible</w:t>
      </w:r>
      <w:r w:rsidR="00A136E9" w:rsidRPr="0056111A">
        <w:rPr>
          <w:rFonts w:ascii="Arial" w:hAnsi="Arial" w:cs="Arial"/>
        </w:rPr>
        <w:t xml:space="preserve"> processes for enforcement across existing regimes;</w:t>
      </w:r>
    </w:p>
    <w:p w14:paraId="6C2E6A2F" w14:textId="77777777" w:rsidR="00A136E9" w:rsidRPr="0056111A" w:rsidRDefault="00A136E9" w:rsidP="003C0F55">
      <w:pPr>
        <w:pStyle w:val="ListParagraph"/>
        <w:numPr>
          <w:ilvl w:val="0"/>
          <w:numId w:val="1"/>
        </w:numPr>
        <w:spacing w:after="0" w:line="240" w:lineRule="auto"/>
        <w:rPr>
          <w:rFonts w:ascii="Arial" w:hAnsi="Arial" w:cs="Arial"/>
        </w:rPr>
      </w:pPr>
      <w:r w:rsidRPr="0056111A">
        <w:rPr>
          <w:rFonts w:ascii="Arial" w:hAnsi="Arial" w:cs="Arial"/>
        </w:rPr>
        <w:t>Simpler and standardised processes to enable public participation in decision making;</w:t>
      </w:r>
    </w:p>
    <w:p w14:paraId="4BAC8569" w14:textId="77777777" w:rsidR="003C0F55" w:rsidRPr="0056111A" w:rsidRDefault="003C0F55" w:rsidP="003C0F55">
      <w:pPr>
        <w:keepNext/>
        <w:spacing w:after="0" w:line="240" w:lineRule="auto"/>
        <w:rPr>
          <w:rFonts w:ascii="Arial" w:hAnsi="Arial" w:cs="Arial"/>
        </w:rPr>
      </w:pPr>
    </w:p>
    <w:p w14:paraId="3486DC32" w14:textId="77777777" w:rsidR="00720481" w:rsidRPr="0056111A" w:rsidRDefault="005035D0" w:rsidP="003C0F55">
      <w:pPr>
        <w:spacing w:after="0" w:line="240" w:lineRule="auto"/>
        <w:rPr>
          <w:rFonts w:ascii="Arial" w:hAnsi="Arial" w:cs="Arial"/>
        </w:rPr>
      </w:pPr>
      <w:r w:rsidRPr="0056111A">
        <w:rPr>
          <w:rFonts w:ascii="Arial" w:hAnsi="Arial" w:cs="Arial"/>
        </w:rPr>
        <w:t xml:space="preserve">The </w:t>
      </w:r>
      <w:r w:rsidR="003C0F55" w:rsidRPr="0056111A">
        <w:rPr>
          <w:rFonts w:ascii="Arial" w:hAnsi="Arial" w:cs="Arial"/>
        </w:rPr>
        <w:t xml:space="preserve">integrated authorisation </w:t>
      </w:r>
      <w:r w:rsidRPr="0056111A">
        <w:rPr>
          <w:rFonts w:ascii="Arial" w:hAnsi="Arial" w:cs="Arial"/>
        </w:rPr>
        <w:t xml:space="preserve">framework will enable SEPA to deliver proportionate, outcome focused regulation that significantly simplifies the regulatory landscape, reduces regulatory burden and supports business innovation.  It will enable SEPA to work in a more integrated way, focusing on the environmental risks that matter the most. </w:t>
      </w:r>
    </w:p>
    <w:p w14:paraId="34BA35D8" w14:textId="77777777" w:rsidR="00720481" w:rsidRPr="0056111A" w:rsidRDefault="00720481" w:rsidP="003C0F55">
      <w:pPr>
        <w:spacing w:after="0" w:line="240" w:lineRule="auto"/>
        <w:rPr>
          <w:rFonts w:ascii="Arial" w:hAnsi="Arial" w:cs="Arial"/>
        </w:rPr>
      </w:pPr>
    </w:p>
    <w:p w14:paraId="66B0647A" w14:textId="77777777" w:rsidR="00383D99" w:rsidRPr="0056111A" w:rsidRDefault="005035D0" w:rsidP="003C0F55">
      <w:pPr>
        <w:spacing w:after="0" w:line="240" w:lineRule="auto"/>
        <w:rPr>
          <w:rFonts w:ascii="Arial" w:hAnsi="Arial" w:cs="Arial"/>
          <w:lang w:val="en-US"/>
        </w:rPr>
      </w:pPr>
      <w:r w:rsidRPr="0056111A">
        <w:rPr>
          <w:rFonts w:ascii="Arial" w:hAnsi="Arial" w:cs="Arial"/>
        </w:rPr>
        <w:t>The framework is a cornerstone in delivering better environmental regulation</w:t>
      </w:r>
      <w:r w:rsidR="00720481" w:rsidRPr="0056111A">
        <w:rPr>
          <w:rFonts w:ascii="Arial" w:hAnsi="Arial" w:cs="Arial"/>
        </w:rPr>
        <w:t xml:space="preserve"> and </w:t>
      </w:r>
      <w:r w:rsidR="00BC6053">
        <w:rPr>
          <w:rFonts w:ascii="Arial" w:hAnsi="Arial" w:cs="Arial"/>
        </w:rPr>
        <w:t xml:space="preserve">SEPA’s Regulatory Strategy.  </w:t>
      </w:r>
      <w:r w:rsidRPr="0056111A">
        <w:rPr>
          <w:rFonts w:ascii="Arial" w:hAnsi="Arial" w:cs="Arial"/>
          <w:lang w:val="en-US"/>
        </w:rPr>
        <w:t xml:space="preserve">SEPA </w:t>
      </w:r>
      <w:r w:rsidR="003C0F55" w:rsidRPr="0056111A">
        <w:rPr>
          <w:rFonts w:ascii="Arial" w:hAnsi="Arial" w:cs="Arial"/>
          <w:lang w:val="en-US"/>
        </w:rPr>
        <w:t>is also developing</w:t>
      </w:r>
      <w:r w:rsidRPr="0056111A">
        <w:rPr>
          <w:rFonts w:ascii="Arial" w:hAnsi="Arial" w:cs="Arial"/>
          <w:lang w:val="en-US"/>
        </w:rPr>
        <w:t xml:space="preserve"> a new Permitting Service to improve the processing of new applications and drive the practical reforms to permit</w:t>
      </w:r>
      <w:r w:rsidR="003A14B3" w:rsidRPr="0056111A">
        <w:rPr>
          <w:rFonts w:ascii="Arial" w:hAnsi="Arial" w:cs="Arial"/>
          <w:lang w:val="en-US"/>
        </w:rPr>
        <w:t xml:space="preserve">s enabled by the integrated </w:t>
      </w:r>
      <w:proofErr w:type="spellStart"/>
      <w:r w:rsidR="003A14B3" w:rsidRPr="0056111A">
        <w:rPr>
          <w:rFonts w:ascii="Arial" w:hAnsi="Arial" w:cs="Arial"/>
          <w:lang w:val="en-US"/>
        </w:rPr>
        <w:t>authoris</w:t>
      </w:r>
      <w:r w:rsidRPr="0056111A">
        <w:rPr>
          <w:rFonts w:ascii="Arial" w:hAnsi="Arial" w:cs="Arial"/>
          <w:lang w:val="en-US"/>
        </w:rPr>
        <w:t>ation</w:t>
      </w:r>
      <w:proofErr w:type="spellEnd"/>
      <w:r w:rsidRPr="0056111A">
        <w:rPr>
          <w:rFonts w:ascii="Arial" w:hAnsi="Arial" w:cs="Arial"/>
          <w:lang w:val="en-US"/>
        </w:rPr>
        <w:t xml:space="preserve"> framework.</w:t>
      </w:r>
    </w:p>
    <w:p w14:paraId="180B8154" w14:textId="77777777" w:rsidR="00720481" w:rsidRPr="0056111A" w:rsidRDefault="00720481" w:rsidP="003C0F55">
      <w:pPr>
        <w:spacing w:after="0" w:line="240" w:lineRule="auto"/>
        <w:rPr>
          <w:rFonts w:ascii="Arial" w:hAnsi="Arial" w:cs="Arial"/>
          <w:lang w:val="en-US"/>
        </w:rPr>
      </w:pPr>
    </w:p>
    <w:tbl>
      <w:tblPr>
        <w:tblStyle w:val="TableGrid"/>
        <w:tblW w:w="0" w:type="auto"/>
        <w:tblLook w:val="04A0" w:firstRow="1" w:lastRow="0" w:firstColumn="1" w:lastColumn="0" w:noHBand="0" w:noVBand="1"/>
      </w:tblPr>
      <w:tblGrid>
        <w:gridCol w:w="2093"/>
        <w:gridCol w:w="7149"/>
      </w:tblGrid>
      <w:tr w:rsidR="00FC6BA0" w:rsidRPr="0056111A" w14:paraId="51A339C6" w14:textId="77777777" w:rsidTr="00FC6BA0">
        <w:tc>
          <w:tcPr>
            <w:tcW w:w="9242" w:type="dxa"/>
            <w:gridSpan w:val="2"/>
            <w:shd w:val="clear" w:color="auto" w:fill="D9D9D9" w:themeFill="background1" w:themeFillShade="D9"/>
          </w:tcPr>
          <w:p w14:paraId="0C6D214D" w14:textId="77777777" w:rsidR="00FC6BA0" w:rsidRPr="0056111A" w:rsidRDefault="00FC6BA0" w:rsidP="00FC6BA0">
            <w:pPr>
              <w:jc w:val="center"/>
              <w:rPr>
                <w:rFonts w:ascii="Arial" w:hAnsi="Arial" w:cs="Arial"/>
                <w:b/>
              </w:rPr>
            </w:pPr>
            <w:r w:rsidRPr="0056111A">
              <w:rPr>
                <w:rFonts w:ascii="Arial" w:hAnsi="Arial" w:cs="Arial"/>
                <w:b/>
              </w:rPr>
              <w:t>Key Dates</w:t>
            </w:r>
          </w:p>
        </w:tc>
      </w:tr>
      <w:tr w:rsidR="00720481" w:rsidRPr="0056111A" w14:paraId="67216605" w14:textId="77777777" w:rsidTr="00720481">
        <w:tc>
          <w:tcPr>
            <w:tcW w:w="2093" w:type="dxa"/>
          </w:tcPr>
          <w:p w14:paraId="7DEC409C" w14:textId="77777777" w:rsidR="00720481" w:rsidRPr="0056111A" w:rsidRDefault="00720481" w:rsidP="003C0F55">
            <w:pPr>
              <w:rPr>
                <w:rFonts w:ascii="Arial" w:hAnsi="Arial" w:cs="Arial"/>
              </w:rPr>
            </w:pPr>
            <w:r w:rsidRPr="0056111A">
              <w:rPr>
                <w:rFonts w:ascii="Arial" w:hAnsi="Arial" w:cs="Arial"/>
              </w:rPr>
              <w:t>12</w:t>
            </w:r>
            <w:r w:rsidRPr="0056111A">
              <w:rPr>
                <w:rFonts w:ascii="Arial" w:hAnsi="Arial" w:cs="Arial"/>
                <w:vertAlign w:val="superscript"/>
              </w:rPr>
              <w:t>th</w:t>
            </w:r>
            <w:r w:rsidRPr="0056111A">
              <w:rPr>
                <w:rFonts w:ascii="Arial" w:hAnsi="Arial" w:cs="Arial"/>
              </w:rPr>
              <w:t xml:space="preserve"> April 2017</w:t>
            </w:r>
          </w:p>
        </w:tc>
        <w:tc>
          <w:tcPr>
            <w:tcW w:w="7149" w:type="dxa"/>
          </w:tcPr>
          <w:p w14:paraId="6B779F26" w14:textId="77777777" w:rsidR="00720481" w:rsidRPr="0056111A" w:rsidRDefault="00720481" w:rsidP="003C0F55">
            <w:pPr>
              <w:rPr>
                <w:rFonts w:ascii="Arial" w:hAnsi="Arial" w:cs="Arial"/>
              </w:rPr>
            </w:pPr>
            <w:r w:rsidRPr="0056111A">
              <w:rPr>
                <w:rFonts w:ascii="Arial" w:hAnsi="Arial" w:cs="Arial"/>
              </w:rPr>
              <w:t>Consultation on integrated authorisation framework closes</w:t>
            </w:r>
          </w:p>
        </w:tc>
      </w:tr>
    </w:tbl>
    <w:p w14:paraId="0753B958" w14:textId="77777777" w:rsidR="00720481" w:rsidRPr="0056111A" w:rsidRDefault="00720481" w:rsidP="003C0F55">
      <w:pPr>
        <w:spacing w:after="0" w:line="240" w:lineRule="auto"/>
        <w:rPr>
          <w:rFonts w:ascii="Arial" w:hAnsi="Arial" w:cs="Arial"/>
        </w:rPr>
      </w:pPr>
    </w:p>
    <w:p w14:paraId="31FA0B2F" w14:textId="77777777" w:rsidR="00383D99" w:rsidRPr="0056111A" w:rsidRDefault="00720481" w:rsidP="003C0F55">
      <w:pPr>
        <w:spacing w:after="0" w:line="240" w:lineRule="auto"/>
        <w:rPr>
          <w:rFonts w:ascii="Arial" w:hAnsi="Arial" w:cs="Arial"/>
          <w:b/>
        </w:rPr>
      </w:pPr>
      <w:r w:rsidRPr="0056111A">
        <w:rPr>
          <w:rFonts w:ascii="Arial" w:hAnsi="Arial" w:cs="Arial"/>
          <w:b/>
        </w:rPr>
        <w:t>Enforcement</w:t>
      </w:r>
    </w:p>
    <w:p w14:paraId="608BD5FA" w14:textId="77777777" w:rsidR="007E2883" w:rsidRPr="0056111A" w:rsidRDefault="007E2883" w:rsidP="007E2883">
      <w:pPr>
        <w:spacing w:after="0" w:line="240" w:lineRule="auto"/>
        <w:rPr>
          <w:rFonts w:ascii="Arial" w:hAnsi="Arial" w:cs="Arial"/>
        </w:rPr>
      </w:pPr>
      <w:r w:rsidRPr="0056111A">
        <w:rPr>
          <w:rFonts w:ascii="Arial" w:hAnsi="Arial" w:cs="Arial"/>
        </w:rPr>
        <w:t xml:space="preserve">Two new enforcement measures for SEPA to use were phased in during 2016:  the use of Fixed Monetary Penalties and Enforcement Undertakings.  In June 2016 SEPA published its enforcement </w:t>
      </w:r>
      <w:hyperlink r:id="rId6" w:history="1">
        <w:r w:rsidRPr="0056111A">
          <w:rPr>
            <w:rStyle w:val="Hyperlink"/>
            <w:rFonts w:ascii="Arial" w:hAnsi="Arial" w:cs="Arial"/>
          </w:rPr>
          <w:t>policy</w:t>
        </w:r>
      </w:hyperlink>
      <w:r w:rsidRPr="0056111A">
        <w:rPr>
          <w:rFonts w:ascii="Arial" w:hAnsi="Arial" w:cs="Arial"/>
        </w:rPr>
        <w:t xml:space="preserve"> and </w:t>
      </w:r>
      <w:hyperlink r:id="rId7" w:history="1">
        <w:r w:rsidRPr="0056111A">
          <w:rPr>
            <w:rStyle w:val="Hyperlink"/>
            <w:rFonts w:ascii="Arial" w:hAnsi="Arial" w:cs="Arial"/>
          </w:rPr>
          <w:t>guidance</w:t>
        </w:r>
      </w:hyperlink>
      <w:r w:rsidRPr="0056111A">
        <w:rPr>
          <w:rFonts w:ascii="Arial" w:hAnsi="Arial" w:cs="Arial"/>
        </w:rPr>
        <w:t xml:space="preserve"> which sets out how these new measures will be used.  Further, in September 2016, </w:t>
      </w:r>
      <w:r w:rsidR="00BB54B9" w:rsidRPr="0056111A">
        <w:rPr>
          <w:rFonts w:ascii="Arial" w:hAnsi="Arial" w:cs="Arial"/>
        </w:rPr>
        <w:t xml:space="preserve">SEPA consulted on its approach to using new </w:t>
      </w:r>
      <w:hyperlink r:id="rId8" w:history="1">
        <w:r w:rsidR="00BB54B9" w:rsidRPr="0056111A">
          <w:rPr>
            <w:rStyle w:val="Hyperlink"/>
            <w:rFonts w:ascii="Arial" w:hAnsi="Arial" w:cs="Arial"/>
          </w:rPr>
          <w:t>Variable Monetary Penalties</w:t>
        </w:r>
      </w:hyperlink>
      <w:r w:rsidR="00BB54B9" w:rsidRPr="0056111A">
        <w:rPr>
          <w:rFonts w:ascii="Arial" w:hAnsi="Arial" w:cs="Arial"/>
        </w:rPr>
        <w:t>.  This consultation is informing SEPA’s approach to implementing use of VMPs.</w:t>
      </w:r>
    </w:p>
    <w:p w14:paraId="6F9CB1BB" w14:textId="77777777" w:rsidR="007E2883" w:rsidRPr="0056111A" w:rsidRDefault="007E2883" w:rsidP="007E2883">
      <w:pPr>
        <w:spacing w:after="0" w:line="240" w:lineRule="auto"/>
        <w:rPr>
          <w:rFonts w:ascii="Arial" w:hAnsi="Arial" w:cs="Arial"/>
        </w:rPr>
      </w:pPr>
    </w:p>
    <w:p w14:paraId="695B51EF" w14:textId="77777777" w:rsidR="007E2883" w:rsidRPr="0056111A" w:rsidRDefault="007E2883" w:rsidP="007E2883">
      <w:pPr>
        <w:spacing w:after="0" w:line="240" w:lineRule="auto"/>
        <w:rPr>
          <w:rFonts w:ascii="Arial" w:hAnsi="Arial" w:cs="Arial"/>
        </w:rPr>
      </w:pPr>
      <w:r w:rsidRPr="0056111A">
        <w:rPr>
          <w:rFonts w:ascii="Arial" w:hAnsi="Arial" w:cs="Arial"/>
        </w:rPr>
        <w:t xml:space="preserve">The measures provide SEPA with a more flexible suite of tools to challenge those who commit environmental offences and bring about improvements in their behaviour so that compliance with environmental legislation is achieved.  </w:t>
      </w:r>
    </w:p>
    <w:p w14:paraId="6F633987" w14:textId="77777777" w:rsidR="004B0EBE" w:rsidRPr="0056111A" w:rsidRDefault="004B0EBE" w:rsidP="007E2883">
      <w:pPr>
        <w:spacing w:after="0" w:line="240" w:lineRule="auto"/>
        <w:rPr>
          <w:rFonts w:ascii="Arial" w:hAnsi="Arial" w:cs="Arial"/>
        </w:rPr>
      </w:pPr>
    </w:p>
    <w:tbl>
      <w:tblPr>
        <w:tblStyle w:val="TableGrid"/>
        <w:tblW w:w="0" w:type="auto"/>
        <w:tblLook w:val="04A0" w:firstRow="1" w:lastRow="0" w:firstColumn="1" w:lastColumn="0" w:noHBand="0" w:noVBand="1"/>
      </w:tblPr>
      <w:tblGrid>
        <w:gridCol w:w="2093"/>
        <w:gridCol w:w="7149"/>
      </w:tblGrid>
      <w:tr w:rsidR="00FC6BA0" w:rsidRPr="0056111A" w14:paraId="21439A15" w14:textId="77777777" w:rsidTr="008F2CD9">
        <w:tc>
          <w:tcPr>
            <w:tcW w:w="9242" w:type="dxa"/>
            <w:gridSpan w:val="2"/>
            <w:shd w:val="clear" w:color="auto" w:fill="D9D9D9" w:themeFill="background1" w:themeFillShade="D9"/>
          </w:tcPr>
          <w:p w14:paraId="4CA2EBF9" w14:textId="77777777" w:rsidR="00FC6BA0" w:rsidRPr="0056111A" w:rsidRDefault="00FC6BA0" w:rsidP="00FC6BA0">
            <w:pPr>
              <w:jc w:val="center"/>
              <w:rPr>
                <w:rFonts w:ascii="Arial" w:hAnsi="Arial" w:cs="Arial"/>
                <w:b/>
              </w:rPr>
            </w:pPr>
            <w:r w:rsidRPr="0056111A">
              <w:rPr>
                <w:rFonts w:ascii="Arial" w:hAnsi="Arial" w:cs="Arial"/>
                <w:b/>
              </w:rPr>
              <w:t>Key Dates</w:t>
            </w:r>
          </w:p>
        </w:tc>
      </w:tr>
      <w:tr w:rsidR="004B0EBE" w:rsidRPr="0056111A" w14:paraId="5C2C7781" w14:textId="77777777" w:rsidTr="004B0EBE">
        <w:tc>
          <w:tcPr>
            <w:tcW w:w="2093" w:type="dxa"/>
          </w:tcPr>
          <w:p w14:paraId="397ADD50" w14:textId="77777777" w:rsidR="004B0EBE" w:rsidRPr="0056111A" w:rsidRDefault="004B0EBE" w:rsidP="007E2883">
            <w:pPr>
              <w:rPr>
                <w:rFonts w:ascii="Arial" w:hAnsi="Arial" w:cs="Arial"/>
              </w:rPr>
            </w:pPr>
            <w:r w:rsidRPr="0056111A">
              <w:rPr>
                <w:rFonts w:ascii="Arial" w:hAnsi="Arial" w:cs="Arial"/>
              </w:rPr>
              <w:t>2017</w:t>
            </w:r>
          </w:p>
        </w:tc>
        <w:tc>
          <w:tcPr>
            <w:tcW w:w="7149" w:type="dxa"/>
          </w:tcPr>
          <w:p w14:paraId="39891D0E" w14:textId="77777777" w:rsidR="004B0EBE" w:rsidRPr="0056111A" w:rsidRDefault="004B0EBE" w:rsidP="007E2883">
            <w:pPr>
              <w:rPr>
                <w:rFonts w:ascii="Arial" w:hAnsi="Arial" w:cs="Arial"/>
              </w:rPr>
            </w:pPr>
            <w:r w:rsidRPr="0056111A">
              <w:rPr>
                <w:rFonts w:ascii="Arial" w:hAnsi="Arial" w:cs="Arial"/>
              </w:rPr>
              <w:t>Introduction of Variable Monetary Penalties and VMP Undertakings</w:t>
            </w:r>
          </w:p>
        </w:tc>
      </w:tr>
    </w:tbl>
    <w:p w14:paraId="30F16C67" w14:textId="77777777" w:rsidR="004B0EBE" w:rsidRPr="0056111A" w:rsidRDefault="004B0EBE" w:rsidP="007E2883">
      <w:pPr>
        <w:spacing w:after="0" w:line="240" w:lineRule="auto"/>
        <w:rPr>
          <w:rFonts w:ascii="Arial" w:hAnsi="Arial" w:cs="Arial"/>
          <w:color w:val="1F497D"/>
        </w:rPr>
      </w:pPr>
    </w:p>
    <w:p w14:paraId="38D86B68" w14:textId="77777777" w:rsidR="00720481" w:rsidRPr="0056111A" w:rsidRDefault="00CE7716" w:rsidP="003C0F55">
      <w:pPr>
        <w:spacing w:after="0" w:line="240" w:lineRule="auto"/>
        <w:rPr>
          <w:rFonts w:ascii="Arial" w:hAnsi="Arial" w:cs="Arial"/>
          <w:b/>
        </w:rPr>
      </w:pPr>
      <w:r w:rsidRPr="0056111A">
        <w:rPr>
          <w:rFonts w:ascii="Arial" w:hAnsi="Arial" w:cs="Arial"/>
          <w:b/>
        </w:rPr>
        <w:t>Charging</w:t>
      </w:r>
    </w:p>
    <w:p w14:paraId="619D5344" w14:textId="77777777" w:rsidR="004B0EBE" w:rsidRPr="0056111A" w:rsidRDefault="004B0EBE" w:rsidP="00CE7716">
      <w:pPr>
        <w:spacing w:after="0" w:line="240" w:lineRule="auto"/>
        <w:rPr>
          <w:rFonts w:ascii="Arial" w:hAnsi="Arial" w:cs="Arial"/>
        </w:rPr>
      </w:pPr>
      <w:r w:rsidRPr="0056111A">
        <w:rPr>
          <w:rFonts w:ascii="Arial" w:hAnsi="Arial" w:cs="Arial"/>
        </w:rPr>
        <w:t xml:space="preserve">The Environmental Regulation (Scotland) Charging Scheme 2016 came into force on 1 April 2016.  This introduced a charging scheme which replaced five schemes with a single consistent way of allocating charges across most charge payers. This new scheme enables a more flexible approach in line with </w:t>
      </w:r>
      <w:r w:rsidR="00891B96" w:rsidRPr="00BC6053">
        <w:rPr>
          <w:rFonts w:ascii="Arial" w:hAnsi="Arial" w:cs="Arial"/>
          <w:iCs/>
        </w:rPr>
        <w:t>SEPA’S Regulatory Strategy</w:t>
      </w:r>
      <w:r w:rsidRPr="00BC6053">
        <w:rPr>
          <w:rFonts w:ascii="Arial" w:hAnsi="Arial" w:cs="Arial"/>
        </w:rPr>
        <w:t>,</w:t>
      </w:r>
      <w:r w:rsidRPr="0056111A">
        <w:rPr>
          <w:rFonts w:ascii="Arial" w:hAnsi="Arial" w:cs="Arial"/>
        </w:rPr>
        <w:t xml:space="preserve"> allowing SEPA to target its regulatory activity to where it will deliver the most benefit.</w:t>
      </w:r>
    </w:p>
    <w:p w14:paraId="6B90336A" w14:textId="77777777" w:rsidR="004B0EBE" w:rsidRPr="0056111A" w:rsidRDefault="004B0EBE" w:rsidP="00CE7716">
      <w:pPr>
        <w:spacing w:after="0" w:line="240" w:lineRule="auto"/>
        <w:rPr>
          <w:rFonts w:ascii="Arial" w:hAnsi="Arial" w:cs="Arial"/>
        </w:rPr>
      </w:pPr>
    </w:p>
    <w:p w14:paraId="16114FF0" w14:textId="77777777" w:rsidR="00CE7716" w:rsidRPr="0056111A" w:rsidRDefault="004B0EBE" w:rsidP="00CE7716">
      <w:pPr>
        <w:spacing w:after="0" w:line="240" w:lineRule="auto"/>
        <w:rPr>
          <w:rFonts w:ascii="Arial" w:hAnsi="Arial" w:cs="Arial"/>
        </w:rPr>
      </w:pPr>
      <w:r w:rsidRPr="0056111A">
        <w:rPr>
          <w:rFonts w:ascii="Arial" w:hAnsi="Arial" w:cs="Arial"/>
        </w:rPr>
        <w:t xml:space="preserve">Preparations for the planned review of the Scheme are now underway.  This work will deliver the changes outlined in the 2015 consultation and </w:t>
      </w:r>
      <w:r w:rsidR="00F10B2D">
        <w:rPr>
          <w:rFonts w:ascii="Arial" w:hAnsi="Arial" w:cs="Arial"/>
        </w:rPr>
        <w:t>will also take account of</w:t>
      </w:r>
      <w:r w:rsidRPr="0056111A">
        <w:rPr>
          <w:rFonts w:ascii="Arial" w:hAnsi="Arial" w:cs="Arial"/>
        </w:rPr>
        <w:t xml:space="preserve"> feedback that we have received from charge-payers </w:t>
      </w:r>
      <w:r w:rsidR="00F10B2D">
        <w:rPr>
          <w:rFonts w:ascii="Arial" w:hAnsi="Arial" w:cs="Arial"/>
        </w:rPr>
        <w:t>since implementation of the scheme</w:t>
      </w:r>
      <w:r w:rsidRPr="0056111A">
        <w:rPr>
          <w:rFonts w:ascii="Arial" w:hAnsi="Arial" w:cs="Arial"/>
        </w:rPr>
        <w:t>.</w:t>
      </w:r>
    </w:p>
    <w:p w14:paraId="3134695A" w14:textId="77777777" w:rsidR="004B0EBE" w:rsidRPr="0056111A" w:rsidRDefault="004B0EBE" w:rsidP="00CE7716">
      <w:pPr>
        <w:spacing w:after="0" w:line="240" w:lineRule="auto"/>
        <w:rPr>
          <w:rFonts w:ascii="Arial" w:hAnsi="Arial" w:cs="Arial"/>
        </w:rPr>
      </w:pPr>
    </w:p>
    <w:tbl>
      <w:tblPr>
        <w:tblStyle w:val="TableGrid"/>
        <w:tblW w:w="0" w:type="auto"/>
        <w:tblLook w:val="04A0" w:firstRow="1" w:lastRow="0" w:firstColumn="1" w:lastColumn="0" w:noHBand="0" w:noVBand="1"/>
      </w:tblPr>
      <w:tblGrid>
        <w:gridCol w:w="2093"/>
        <w:gridCol w:w="7149"/>
      </w:tblGrid>
      <w:tr w:rsidR="00FC6BA0" w:rsidRPr="0056111A" w14:paraId="07D7204C" w14:textId="77777777" w:rsidTr="008F2CD9">
        <w:tc>
          <w:tcPr>
            <w:tcW w:w="9242" w:type="dxa"/>
            <w:gridSpan w:val="2"/>
            <w:shd w:val="clear" w:color="auto" w:fill="D9D9D9" w:themeFill="background1" w:themeFillShade="D9"/>
          </w:tcPr>
          <w:p w14:paraId="42BA8041" w14:textId="77777777" w:rsidR="00FC6BA0" w:rsidRPr="0056111A" w:rsidRDefault="00FC6BA0" w:rsidP="00FC6BA0">
            <w:pPr>
              <w:jc w:val="center"/>
              <w:rPr>
                <w:rFonts w:ascii="Arial" w:hAnsi="Arial" w:cs="Arial"/>
                <w:b/>
              </w:rPr>
            </w:pPr>
            <w:r w:rsidRPr="0056111A">
              <w:rPr>
                <w:rFonts w:ascii="Arial" w:hAnsi="Arial" w:cs="Arial"/>
                <w:b/>
              </w:rPr>
              <w:t>Key Dates</w:t>
            </w:r>
          </w:p>
        </w:tc>
      </w:tr>
      <w:tr w:rsidR="004B0EBE" w:rsidRPr="0056111A" w14:paraId="517C48CB" w14:textId="77777777" w:rsidTr="004B0EBE">
        <w:tc>
          <w:tcPr>
            <w:tcW w:w="2093" w:type="dxa"/>
          </w:tcPr>
          <w:p w14:paraId="62FEBF8D" w14:textId="77777777" w:rsidR="004B0EBE" w:rsidRPr="0056111A" w:rsidRDefault="004B0EBE" w:rsidP="00CE7716">
            <w:pPr>
              <w:rPr>
                <w:rFonts w:ascii="Arial" w:hAnsi="Arial" w:cs="Arial"/>
              </w:rPr>
            </w:pPr>
            <w:r w:rsidRPr="0056111A">
              <w:rPr>
                <w:rFonts w:ascii="Arial" w:hAnsi="Arial" w:cs="Arial"/>
              </w:rPr>
              <w:t>June 2017</w:t>
            </w:r>
          </w:p>
        </w:tc>
        <w:tc>
          <w:tcPr>
            <w:tcW w:w="7149" w:type="dxa"/>
          </w:tcPr>
          <w:p w14:paraId="62076A0C" w14:textId="77777777" w:rsidR="004B0EBE" w:rsidRPr="0056111A" w:rsidRDefault="004B0EBE" w:rsidP="00CE7716">
            <w:pPr>
              <w:rPr>
                <w:rFonts w:ascii="Arial" w:hAnsi="Arial" w:cs="Arial"/>
              </w:rPr>
            </w:pPr>
            <w:r w:rsidRPr="0056111A">
              <w:rPr>
                <w:rFonts w:ascii="Arial" w:hAnsi="Arial" w:cs="Arial"/>
              </w:rPr>
              <w:t>Consultation on planned revisions to the charging scheme for 2018</w:t>
            </w:r>
          </w:p>
        </w:tc>
      </w:tr>
      <w:tr w:rsidR="004B0EBE" w:rsidRPr="0056111A" w14:paraId="0DB724CE" w14:textId="77777777" w:rsidTr="004B0EBE">
        <w:tc>
          <w:tcPr>
            <w:tcW w:w="2093" w:type="dxa"/>
          </w:tcPr>
          <w:p w14:paraId="280165F2" w14:textId="77777777" w:rsidR="004B0EBE" w:rsidRPr="0056111A" w:rsidRDefault="004B0EBE" w:rsidP="00CE7716">
            <w:pPr>
              <w:rPr>
                <w:rFonts w:ascii="Arial" w:hAnsi="Arial" w:cs="Arial"/>
              </w:rPr>
            </w:pPr>
            <w:r w:rsidRPr="0056111A">
              <w:rPr>
                <w:rFonts w:ascii="Arial" w:hAnsi="Arial" w:cs="Arial"/>
              </w:rPr>
              <w:t>April 2018</w:t>
            </w:r>
          </w:p>
        </w:tc>
        <w:tc>
          <w:tcPr>
            <w:tcW w:w="7149" w:type="dxa"/>
          </w:tcPr>
          <w:p w14:paraId="58B0B25B" w14:textId="77777777" w:rsidR="004B0EBE" w:rsidRPr="0056111A" w:rsidRDefault="004B0EBE" w:rsidP="00CE7716">
            <w:pPr>
              <w:rPr>
                <w:rFonts w:ascii="Arial" w:hAnsi="Arial" w:cs="Arial"/>
              </w:rPr>
            </w:pPr>
            <w:r w:rsidRPr="0056111A">
              <w:rPr>
                <w:rFonts w:ascii="Arial" w:hAnsi="Arial" w:cs="Arial"/>
              </w:rPr>
              <w:t>Revised scheme planned to come into force</w:t>
            </w:r>
          </w:p>
        </w:tc>
      </w:tr>
    </w:tbl>
    <w:p w14:paraId="460B9AD9" w14:textId="77777777" w:rsidR="004B0EBE" w:rsidRPr="0056111A" w:rsidRDefault="004B0EBE" w:rsidP="00CE7716">
      <w:pPr>
        <w:spacing w:after="0" w:line="240" w:lineRule="auto"/>
        <w:rPr>
          <w:rFonts w:ascii="Arial" w:hAnsi="Arial" w:cs="Arial"/>
        </w:rPr>
      </w:pPr>
    </w:p>
    <w:p w14:paraId="46405085" w14:textId="77777777" w:rsidR="00FC6BA0" w:rsidRPr="0056111A" w:rsidRDefault="00FC6BA0" w:rsidP="003C0F55">
      <w:pPr>
        <w:spacing w:after="0" w:line="240" w:lineRule="auto"/>
        <w:rPr>
          <w:rFonts w:ascii="Arial" w:hAnsi="Arial" w:cs="Arial"/>
          <w:b/>
        </w:rPr>
      </w:pPr>
    </w:p>
    <w:p w14:paraId="2C5DE86B" w14:textId="77777777" w:rsidR="0014127A" w:rsidRPr="0056111A" w:rsidRDefault="0014127A" w:rsidP="003C0F55">
      <w:pPr>
        <w:spacing w:after="0" w:line="240" w:lineRule="auto"/>
        <w:rPr>
          <w:rFonts w:ascii="Arial" w:hAnsi="Arial" w:cs="Arial"/>
          <w:b/>
        </w:rPr>
      </w:pPr>
      <w:r w:rsidRPr="0056111A">
        <w:rPr>
          <w:rFonts w:ascii="Arial" w:hAnsi="Arial" w:cs="Arial"/>
          <w:b/>
        </w:rPr>
        <w:t>Compliance Assessment Scheme (CAS)</w:t>
      </w:r>
    </w:p>
    <w:p w14:paraId="29AA0C24" w14:textId="77777777" w:rsidR="00F10B2D" w:rsidRDefault="0014127A" w:rsidP="003C0F55">
      <w:pPr>
        <w:spacing w:after="0" w:line="240" w:lineRule="auto"/>
        <w:rPr>
          <w:rFonts w:ascii="Arial" w:hAnsi="Arial" w:cs="Arial"/>
        </w:rPr>
      </w:pPr>
      <w:r w:rsidRPr="0056111A">
        <w:rPr>
          <w:rFonts w:ascii="Arial" w:hAnsi="Arial" w:cs="Arial"/>
        </w:rPr>
        <w:t>In November 2015 SEPA consulted on plans to revise its CAS.  The planned revisions aim to make the scheme simpler and more proportionate by ensuring that the scheme is more closely aligned with environmental risks.</w:t>
      </w:r>
      <w:r w:rsidRPr="00F10B2D">
        <w:rPr>
          <w:rFonts w:ascii="Arial" w:hAnsi="Arial" w:cs="Arial"/>
        </w:rPr>
        <w:t xml:space="preserve">  </w:t>
      </w:r>
    </w:p>
    <w:p w14:paraId="7BA08E8D" w14:textId="77777777" w:rsidR="00F10B2D" w:rsidRDefault="00F10B2D" w:rsidP="003C0F55">
      <w:pPr>
        <w:spacing w:after="0" w:line="240" w:lineRule="auto"/>
        <w:rPr>
          <w:rFonts w:ascii="Arial" w:hAnsi="Arial" w:cs="Arial"/>
        </w:rPr>
      </w:pPr>
    </w:p>
    <w:p w14:paraId="5989B061" w14:textId="77777777" w:rsidR="00F10B2D" w:rsidRPr="0056111A" w:rsidRDefault="0070086F" w:rsidP="003C0F55">
      <w:pPr>
        <w:spacing w:after="0" w:line="240" w:lineRule="auto"/>
        <w:rPr>
          <w:rFonts w:ascii="Arial" w:hAnsi="Arial" w:cs="Arial"/>
        </w:rPr>
      </w:pPr>
      <w:r w:rsidRPr="00F10B2D">
        <w:rPr>
          <w:rFonts w:ascii="Arial" w:hAnsi="Arial" w:cs="Arial"/>
        </w:rPr>
        <w:t>Compliance with regulatory obligations is the minimum expected from every operator who holds an environmental authorisation issued by SEPA.</w:t>
      </w:r>
      <w:r w:rsidR="00F10B2D">
        <w:rPr>
          <w:rFonts w:ascii="Arial" w:hAnsi="Arial" w:cs="Arial"/>
        </w:rPr>
        <w:t xml:space="preserve">  The new scheme will allow SEPA to target its efforts on those that are non-compliant whilst continuing to engage, encourage and support those businesses that meet their environmental obligations.</w:t>
      </w:r>
    </w:p>
    <w:p w14:paraId="12406E81" w14:textId="77777777" w:rsidR="00FC6BA0" w:rsidRPr="0056111A" w:rsidRDefault="00FC6BA0" w:rsidP="003C0F55">
      <w:pPr>
        <w:spacing w:after="0" w:line="240" w:lineRule="auto"/>
        <w:rPr>
          <w:rFonts w:ascii="Arial" w:hAnsi="Arial" w:cs="Arial"/>
        </w:rPr>
      </w:pPr>
    </w:p>
    <w:p w14:paraId="4CDC089B" w14:textId="77777777" w:rsidR="00FC6BA0" w:rsidRPr="0056111A" w:rsidRDefault="00FC6BA0" w:rsidP="003C0F55">
      <w:pPr>
        <w:spacing w:after="0" w:line="240" w:lineRule="auto"/>
        <w:rPr>
          <w:rFonts w:ascii="Arial" w:hAnsi="Arial" w:cs="Arial"/>
        </w:rPr>
      </w:pPr>
      <w:r w:rsidRPr="0056111A">
        <w:rPr>
          <w:rFonts w:ascii="Arial" w:hAnsi="Arial" w:cs="Arial"/>
        </w:rPr>
        <w:t>In the first half of 2017, SEPA will publish its proposals for revised CAS and on the new CAS manual.  This will provide operators with an opportunity to comment on the detail of the new scheme.</w:t>
      </w:r>
    </w:p>
    <w:p w14:paraId="3042EF90" w14:textId="77777777" w:rsidR="0014127A" w:rsidRPr="0056111A" w:rsidRDefault="0014127A" w:rsidP="003C0F55">
      <w:pPr>
        <w:spacing w:after="0" w:line="240" w:lineRule="auto"/>
        <w:rPr>
          <w:rFonts w:ascii="Arial" w:hAnsi="Arial" w:cs="Arial"/>
        </w:rPr>
      </w:pPr>
    </w:p>
    <w:tbl>
      <w:tblPr>
        <w:tblStyle w:val="TableGrid"/>
        <w:tblW w:w="0" w:type="auto"/>
        <w:tblLook w:val="04A0" w:firstRow="1" w:lastRow="0" w:firstColumn="1" w:lastColumn="0" w:noHBand="0" w:noVBand="1"/>
      </w:tblPr>
      <w:tblGrid>
        <w:gridCol w:w="2093"/>
        <w:gridCol w:w="7149"/>
      </w:tblGrid>
      <w:tr w:rsidR="00FC6BA0" w:rsidRPr="0056111A" w14:paraId="2EB91714" w14:textId="77777777" w:rsidTr="008F2CD9">
        <w:tc>
          <w:tcPr>
            <w:tcW w:w="9242" w:type="dxa"/>
            <w:gridSpan w:val="2"/>
            <w:shd w:val="clear" w:color="auto" w:fill="D9D9D9" w:themeFill="background1" w:themeFillShade="D9"/>
          </w:tcPr>
          <w:p w14:paraId="12ED2535" w14:textId="77777777" w:rsidR="00FC6BA0" w:rsidRPr="0056111A" w:rsidRDefault="00FC6BA0" w:rsidP="00FC6BA0">
            <w:pPr>
              <w:jc w:val="center"/>
              <w:rPr>
                <w:rFonts w:ascii="Arial" w:hAnsi="Arial" w:cs="Arial"/>
                <w:b/>
              </w:rPr>
            </w:pPr>
            <w:r w:rsidRPr="0056111A">
              <w:rPr>
                <w:rFonts w:ascii="Arial" w:hAnsi="Arial" w:cs="Arial"/>
                <w:b/>
              </w:rPr>
              <w:t>Key Dates</w:t>
            </w:r>
          </w:p>
        </w:tc>
      </w:tr>
      <w:tr w:rsidR="0014127A" w:rsidRPr="0056111A" w14:paraId="414363E7" w14:textId="77777777" w:rsidTr="008F2CD9">
        <w:tc>
          <w:tcPr>
            <w:tcW w:w="2093" w:type="dxa"/>
          </w:tcPr>
          <w:p w14:paraId="0DB73648" w14:textId="77777777" w:rsidR="0014127A" w:rsidRPr="00EB0895" w:rsidRDefault="0014127A" w:rsidP="00EB0895">
            <w:pPr>
              <w:rPr>
                <w:rFonts w:ascii="Arial" w:hAnsi="Arial" w:cs="Arial"/>
              </w:rPr>
            </w:pPr>
            <w:r w:rsidRPr="00EB0895">
              <w:rPr>
                <w:rFonts w:ascii="Arial" w:hAnsi="Arial" w:cs="Arial"/>
              </w:rPr>
              <w:t xml:space="preserve">February 2017 </w:t>
            </w:r>
          </w:p>
        </w:tc>
        <w:tc>
          <w:tcPr>
            <w:tcW w:w="7149" w:type="dxa"/>
          </w:tcPr>
          <w:p w14:paraId="48AA1DBB" w14:textId="77777777" w:rsidR="0014127A" w:rsidRPr="0056111A" w:rsidRDefault="0014127A" w:rsidP="00F10B2D">
            <w:pPr>
              <w:rPr>
                <w:rFonts w:ascii="Arial" w:hAnsi="Arial" w:cs="Arial"/>
              </w:rPr>
            </w:pPr>
            <w:r w:rsidRPr="00EB0895">
              <w:rPr>
                <w:rFonts w:ascii="Arial" w:hAnsi="Arial" w:cs="Arial"/>
              </w:rPr>
              <w:t>SEPA publish</w:t>
            </w:r>
            <w:r w:rsidR="00F10B2D">
              <w:rPr>
                <w:rFonts w:ascii="Arial" w:hAnsi="Arial" w:cs="Arial"/>
              </w:rPr>
              <w:t>ed</w:t>
            </w:r>
            <w:r w:rsidRPr="00EB0895">
              <w:rPr>
                <w:rFonts w:ascii="Arial" w:hAnsi="Arial" w:cs="Arial"/>
              </w:rPr>
              <w:t xml:space="preserve"> an </w:t>
            </w:r>
            <w:hyperlink r:id="rId9" w:history="1">
              <w:r w:rsidRPr="00BC6053">
                <w:rPr>
                  <w:rStyle w:val="Hyperlink"/>
                  <w:rFonts w:ascii="Arial" w:hAnsi="Arial" w:cs="Arial"/>
                </w:rPr>
                <w:t>analysis of consultation responses</w:t>
              </w:r>
            </w:hyperlink>
            <w:r w:rsidRPr="00EB0895">
              <w:rPr>
                <w:rFonts w:ascii="Arial" w:hAnsi="Arial" w:cs="Arial"/>
              </w:rPr>
              <w:t xml:space="preserve"> and its response</w:t>
            </w:r>
            <w:r w:rsidRPr="0056111A">
              <w:rPr>
                <w:rFonts w:ascii="Arial" w:hAnsi="Arial" w:cs="Arial"/>
              </w:rPr>
              <w:t xml:space="preserve"> </w:t>
            </w:r>
          </w:p>
        </w:tc>
      </w:tr>
      <w:tr w:rsidR="0014127A" w:rsidRPr="0056111A" w14:paraId="132A9A4A" w14:textId="77777777" w:rsidTr="0014127A">
        <w:tc>
          <w:tcPr>
            <w:tcW w:w="2093" w:type="dxa"/>
          </w:tcPr>
          <w:p w14:paraId="515C6E02" w14:textId="77777777" w:rsidR="0014127A" w:rsidRPr="0056111A" w:rsidRDefault="0014127A" w:rsidP="003C0F55">
            <w:pPr>
              <w:rPr>
                <w:rFonts w:ascii="Arial" w:hAnsi="Arial" w:cs="Arial"/>
              </w:rPr>
            </w:pPr>
            <w:r w:rsidRPr="0056111A">
              <w:rPr>
                <w:rFonts w:ascii="Arial" w:hAnsi="Arial" w:cs="Arial"/>
              </w:rPr>
              <w:t>June 2017</w:t>
            </w:r>
          </w:p>
        </w:tc>
        <w:tc>
          <w:tcPr>
            <w:tcW w:w="7149" w:type="dxa"/>
          </w:tcPr>
          <w:p w14:paraId="61F51B71" w14:textId="77777777" w:rsidR="0014127A" w:rsidRPr="0056111A" w:rsidRDefault="0014127A" w:rsidP="0014127A">
            <w:pPr>
              <w:rPr>
                <w:rFonts w:ascii="Arial" w:hAnsi="Arial" w:cs="Arial"/>
              </w:rPr>
            </w:pPr>
            <w:r w:rsidRPr="0056111A">
              <w:rPr>
                <w:rFonts w:ascii="Arial" w:hAnsi="Arial" w:cs="Arial"/>
              </w:rPr>
              <w:t xml:space="preserve">Consultation on the revised CAS manual </w:t>
            </w:r>
          </w:p>
        </w:tc>
      </w:tr>
      <w:tr w:rsidR="0014127A" w:rsidRPr="0056111A" w14:paraId="4722598B" w14:textId="77777777" w:rsidTr="0014127A">
        <w:tc>
          <w:tcPr>
            <w:tcW w:w="2093" w:type="dxa"/>
          </w:tcPr>
          <w:p w14:paraId="646DD35C" w14:textId="77777777" w:rsidR="0014127A" w:rsidRPr="0056111A" w:rsidRDefault="0014127A" w:rsidP="003C0F55">
            <w:pPr>
              <w:rPr>
                <w:rFonts w:ascii="Arial" w:hAnsi="Arial" w:cs="Arial"/>
              </w:rPr>
            </w:pPr>
            <w:r w:rsidRPr="0056111A">
              <w:rPr>
                <w:rFonts w:ascii="Arial" w:hAnsi="Arial" w:cs="Arial"/>
              </w:rPr>
              <w:t>1 April 2018</w:t>
            </w:r>
          </w:p>
        </w:tc>
        <w:tc>
          <w:tcPr>
            <w:tcW w:w="7149" w:type="dxa"/>
          </w:tcPr>
          <w:p w14:paraId="64525F64" w14:textId="77777777" w:rsidR="0014127A" w:rsidRPr="0056111A" w:rsidRDefault="0014127A" w:rsidP="003C0F55">
            <w:pPr>
              <w:rPr>
                <w:rFonts w:ascii="Arial" w:hAnsi="Arial" w:cs="Arial"/>
              </w:rPr>
            </w:pPr>
            <w:r w:rsidRPr="0056111A">
              <w:rPr>
                <w:rFonts w:ascii="Arial" w:hAnsi="Arial" w:cs="Arial"/>
              </w:rPr>
              <w:t>Earliest introduction of the compliance element of the charging scheme</w:t>
            </w:r>
          </w:p>
        </w:tc>
      </w:tr>
    </w:tbl>
    <w:p w14:paraId="0BD1F7A6" w14:textId="77777777" w:rsidR="00383D99" w:rsidRPr="0056111A" w:rsidRDefault="00383D99" w:rsidP="003C0F55">
      <w:pPr>
        <w:spacing w:after="0" w:line="240" w:lineRule="auto"/>
        <w:rPr>
          <w:rFonts w:ascii="Arial" w:hAnsi="Arial" w:cs="Arial"/>
        </w:rPr>
      </w:pPr>
    </w:p>
    <w:p w14:paraId="11166018" w14:textId="77777777" w:rsidR="00FF3E61" w:rsidRPr="0056111A" w:rsidRDefault="00FF3E61" w:rsidP="00FF3E61">
      <w:pPr>
        <w:spacing w:after="0" w:line="240" w:lineRule="auto"/>
        <w:rPr>
          <w:rFonts w:ascii="Arial" w:hAnsi="Arial" w:cs="Arial"/>
          <w:b/>
        </w:rPr>
      </w:pPr>
      <w:r w:rsidRPr="0056111A">
        <w:rPr>
          <w:rFonts w:ascii="Arial" w:hAnsi="Arial" w:cs="Arial"/>
          <w:b/>
        </w:rPr>
        <w:t>SEPA’s Regulatory Strategy</w:t>
      </w:r>
    </w:p>
    <w:p w14:paraId="22712275" w14:textId="77777777" w:rsidR="00FF3E61" w:rsidRPr="0056111A" w:rsidRDefault="00FF3E61" w:rsidP="00FF3E61">
      <w:pPr>
        <w:spacing w:after="0" w:line="240" w:lineRule="auto"/>
        <w:rPr>
          <w:rFonts w:ascii="Arial" w:hAnsi="Arial" w:cs="Arial"/>
        </w:rPr>
      </w:pPr>
      <w:r w:rsidRPr="0056111A">
        <w:rPr>
          <w:rFonts w:ascii="Arial" w:hAnsi="Arial" w:cs="Arial"/>
        </w:rPr>
        <w:t xml:space="preserve">In August 2016, SEPA published </w:t>
      </w:r>
      <w:r w:rsidR="00891B96" w:rsidRPr="0056111A">
        <w:rPr>
          <w:rFonts w:ascii="Arial" w:hAnsi="Arial" w:cs="Arial"/>
        </w:rPr>
        <w:t>its regulatory strategy</w:t>
      </w:r>
      <w:r w:rsidR="00891B96">
        <w:t xml:space="preserve"> </w:t>
      </w:r>
      <w:hyperlink r:id="rId10" w:history="1">
        <w:r w:rsidRPr="0056111A">
          <w:rPr>
            <w:rStyle w:val="Hyperlink"/>
            <w:rFonts w:ascii="Arial" w:hAnsi="Arial" w:cs="Arial"/>
            <w:i/>
            <w:iCs/>
          </w:rPr>
          <w:t>One Planet Prosperity</w:t>
        </w:r>
      </w:hyperlink>
      <w:r w:rsidRPr="0056111A">
        <w:rPr>
          <w:rFonts w:ascii="Arial" w:hAnsi="Arial" w:cs="Arial"/>
        </w:rPr>
        <w:t>. </w:t>
      </w:r>
      <w:r w:rsidRPr="0056111A">
        <w:rPr>
          <w:rFonts w:ascii="Arial" w:hAnsi="Arial" w:cs="Arial"/>
          <w:i/>
          <w:iCs/>
        </w:rPr>
        <w:t>One Planet Prosperity</w:t>
      </w:r>
      <w:r w:rsidRPr="0056111A">
        <w:rPr>
          <w:rFonts w:ascii="Arial" w:hAnsi="Arial" w:cs="Arial"/>
        </w:rPr>
        <w:t xml:space="preserve"> is a landmark document for SEPA’s future work.  It sets out a vision for its approach to regulation in the future, </w:t>
      </w:r>
      <w:r w:rsidR="00BC6053">
        <w:rPr>
          <w:rFonts w:ascii="Arial" w:hAnsi="Arial" w:cs="Arial"/>
        </w:rPr>
        <w:t xml:space="preserve">which </w:t>
      </w:r>
      <w:r w:rsidRPr="0056111A">
        <w:rPr>
          <w:rFonts w:ascii="Arial" w:hAnsi="Arial" w:cs="Arial"/>
        </w:rPr>
        <w:t xml:space="preserve">will go from being grounded in different regulatory regimes to be grounded in working across whole sectors.  </w:t>
      </w:r>
    </w:p>
    <w:p w14:paraId="69439CA5" w14:textId="77777777" w:rsidR="00FF3E61" w:rsidRPr="0056111A" w:rsidRDefault="00FF3E61" w:rsidP="00FF3E61">
      <w:pPr>
        <w:spacing w:after="0" w:line="240" w:lineRule="auto"/>
        <w:rPr>
          <w:rFonts w:ascii="Arial" w:hAnsi="Arial" w:cs="Arial"/>
        </w:rPr>
      </w:pPr>
    </w:p>
    <w:p w14:paraId="61DD6458" w14:textId="77777777" w:rsidR="00FF3E61" w:rsidRPr="0056111A" w:rsidRDefault="00FF3E61" w:rsidP="00FF3E61">
      <w:pPr>
        <w:spacing w:after="0" w:line="240" w:lineRule="auto"/>
        <w:rPr>
          <w:rFonts w:ascii="Arial" w:hAnsi="Arial" w:cs="Arial"/>
        </w:rPr>
      </w:pPr>
      <w:r w:rsidRPr="0056111A">
        <w:rPr>
          <w:rFonts w:ascii="Arial" w:hAnsi="Arial" w:cs="Arial"/>
        </w:rPr>
        <w:t xml:space="preserve">The vision is simple but powerful: </w:t>
      </w:r>
    </w:p>
    <w:p w14:paraId="055F6E39" w14:textId="77777777" w:rsidR="00FF3E61" w:rsidRPr="0056111A" w:rsidRDefault="00FF3E61" w:rsidP="00FF3E61">
      <w:pPr>
        <w:spacing w:after="0" w:line="240" w:lineRule="auto"/>
        <w:ind w:left="709" w:hanging="709"/>
        <w:rPr>
          <w:rFonts w:ascii="Arial" w:hAnsi="Arial" w:cs="Arial"/>
        </w:rPr>
      </w:pPr>
      <w:r w:rsidRPr="0056111A">
        <w:rPr>
          <w:rFonts w:ascii="Arial" w:hAnsi="Arial" w:cs="Arial"/>
        </w:rPr>
        <w:t>(1)</w:t>
      </w:r>
      <w:r w:rsidRPr="0056111A">
        <w:rPr>
          <w:rFonts w:ascii="Arial" w:hAnsi="Arial" w:cs="Arial"/>
        </w:rPr>
        <w:tab/>
        <w:t>to get all of those that SEPA regulates to meet their legal obligations quickly, easily and cost effectively; and</w:t>
      </w:r>
    </w:p>
    <w:p w14:paraId="3914238D" w14:textId="77777777" w:rsidR="00FF3E61" w:rsidRPr="0056111A" w:rsidRDefault="00FF3E61" w:rsidP="00FF3E61">
      <w:pPr>
        <w:spacing w:after="0" w:line="240" w:lineRule="auto"/>
        <w:rPr>
          <w:rFonts w:ascii="Arial" w:hAnsi="Arial" w:cs="Arial"/>
        </w:rPr>
      </w:pPr>
      <w:r w:rsidRPr="0056111A">
        <w:rPr>
          <w:rFonts w:ascii="Arial" w:hAnsi="Arial" w:cs="Arial"/>
        </w:rPr>
        <w:t xml:space="preserve">(2) </w:t>
      </w:r>
      <w:r w:rsidRPr="0056111A">
        <w:rPr>
          <w:rFonts w:ascii="Arial" w:hAnsi="Arial" w:cs="Arial"/>
        </w:rPr>
        <w:tab/>
        <w:t xml:space="preserve">to help as many regulated entities as possible to move “beyond compliance”.  </w:t>
      </w:r>
    </w:p>
    <w:p w14:paraId="54A49D75" w14:textId="77777777" w:rsidR="00FF3E61" w:rsidRPr="0056111A" w:rsidRDefault="00FF3E61" w:rsidP="00FF3E61">
      <w:pPr>
        <w:spacing w:after="0" w:line="240" w:lineRule="auto"/>
        <w:rPr>
          <w:rFonts w:ascii="Arial" w:hAnsi="Arial" w:cs="Arial"/>
        </w:rPr>
      </w:pPr>
    </w:p>
    <w:p w14:paraId="4A39650C" w14:textId="77777777" w:rsidR="00FF3E61" w:rsidRPr="0056111A" w:rsidRDefault="00F10B2D" w:rsidP="00FF3E61">
      <w:pPr>
        <w:spacing w:after="0" w:line="240" w:lineRule="auto"/>
        <w:rPr>
          <w:rFonts w:ascii="Arial" w:hAnsi="Arial" w:cs="Arial"/>
        </w:rPr>
      </w:pPr>
      <w:r w:rsidRPr="00F10B2D">
        <w:rPr>
          <w:rFonts w:ascii="Arial" w:hAnsi="Arial" w:cs="Arial"/>
          <w:iCs/>
        </w:rPr>
        <w:t>The Regulatory Strategy</w:t>
      </w:r>
      <w:r w:rsidR="00FF3E61" w:rsidRPr="00F10B2D">
        <w:rPr>
          <w:rFonts w:ascii="Arial" w:hAnsi="Arial" w:cs="Arial"/>
        </w:rPr>
        <w:t xml:space="preserve"> will enable SEPA to deliver</w:t>
      </w:r>
      <w:r>
        <w:rPr>
          <w:rFonts w:ascii="Arial" w:hAnsi="Arial" w:cs="Arial"/>
        </w:rPr>
        <w:t>,</w:t>
      </w:r>
      <w:r w:rsidR="00FF3E61" w:rsidRPr="00F10B2D">
        <w:rPr>
          <w:rFonts w:ascii="Arial" w:hAnsi="Arial" w:cs="Arial"/>
        </w:rPr>
        <w:t xml:space="preserve"> as powerfully as possible</w:t>
      </w:r>
      <w:r>
        <w:rPr>
          <w:rFonts w:ascii="Arial" w:hAnsi="Arial" w:cs="Arial"/>
        </w:rPr>
        <w:t>,</w:t>
      </w:r>
      <w:r w:rsidR="00FF3E61" w:rsidRPr="00F10B2D">
        <w:rPr>
          <w:rFonts w:ascii="Arial" w:hAnsi="Arial" w:cs="Arial"/>
        </w:rPr>
        <w:t xml:space="preserve"> its</w:t>
      </w:r>
      <w:r w:rsidR="00FF3E61" w:rsidRPr="0056111A">
        <w:rPr>
          <w:rFonts w:ascii="Arial" w:hAnsi="Arial" w:cs="Arial"/>
        </w:rPr>
        <w:t xml:space="preserve"> statutory purpose under the Regulatory Reform (Scotland) Act 2014. </w:t>
      </w:r>
      <w:r w:rsidR="00FF3E61">
        <w:rPr>
          <w:rFonts w:ascii="Arial" w:hAnsi="Arial" w:cs="Arial"/>
        </w:rPr>
        <w:t>T</w:t>
      </w:r>
      <w:r w:rsidR="00FF3E61" w:rsidRPr="0056111A">
        <w:rPr>
          <w:rFonts w:ascii="Arial" w:hAnsi="Arial" w:cs="Arial"/>
        </w:rPr>
        <w:t xml:space="preserve">his statutory purpose is to protect and improve the environment (environmental success) in ways that, as far as </w:t>
      </w:r>
      <w:r w:rsidR="00FF3E61" w:rsidRPr="0056111A">
        <w:rPr>
          <w:rFonts w:ascii="Arial" w:hAnsi="Arial" w:cs="Arial"/>
        </w:rPr>
        <w:lastRenderedPageBreak/>
        <w:t>possible, create health and well-being benefits for the people of Scotland (social success) and sustainable economic growth (economic success).</w:t>
      </w:r>
    </w:p>
    <w:p w14:paraId="16E66B82" w14:textId="77777777" w:rsidR="00FF3E61" w:rsidRPr="0056111A" w:rsidRDefault="00FF3E61" w:rsidP="00FF3E61">
      <w:pPr>
        <w:spacing w:after="0" w:line="240" w:lineRule="auto"/>
        <w:rPr>
          <w:rFonts w:ascii="Arial" w:hAnsi="Arial" w:cs="Arial"/>
        </w:rPr>
      </w:pPr>
    </w:p>
    <w:p w14:paraId="20B70E27" w14:textId="77777777" w:rsidR="00FF3E61" w:rsidRPr="0056111A" w:rsidRDefault="00FF3E61" w:rsidP="00FF3E61">
      <w:pPr>
        <w:spacing w:after="0" w:line="240" w:lineRule="auto"/>
        <w:rPr>
          <w:rFonts w:ascii="Arial" w:hAnsi="Arial" w:cs="Arial"/>
        </w:rPr>
      </w:pPr>
      <w:r w:rsidRPr="0056111A">
        <w:rPr>
          <w:rFonts w:ascii="Arial" w:hAnsi="Arial" w:cs="Arial"/>
        </w:rPr>
        <w:t xml:space="preserve">A key initiative is a strong focus on sector engagement.   SEPA has established a new Sector Unit that will spearhead its work to develop sector plans that focus on practical ways of delivering environmental, social and economic </w:t>
      </w:r>
      <w:r>
        <w:rPr>
          <w:rFonts w:ascii="Arial" w:hAnsi="Arial" w:cs="Arial"/>
        </w:rPr>
        <w:t>success</w:t>
      </w:r>
      <w:r w:rsidRPr="0056111A">
        <w:rPr>
          <w:rFonts w:ascii="Arial" w:hAnsi="Arial" w:cs="Arial"/>
        </w:rPr>
        <w:t>.  These sector plans are being developed in partnership and SEPA is involving stakeholders as each plan is developed.  They will provide the basis for systema</w:t>
      </w:r>
      <w:r w:rsidR="00BC6053">
        <w:rPr>
          <w:rFonts w:ascii="Arial" w:hAnsi="Arial" w:cs="Arial"/>
        </w:rPr>
        <w:t xml:space="preserve">tically tackling the key issues </w:t>
      </w:r>
      <w:r w:rsidRPr="0056111A">
        <w:rPr>
          <w:rFonts w:ascii="Arial" w:hAnsi="Arial" w:cs="Arial"/>
        </w:rPr>
        <w:t>being faced in the sector and for enabling the most promising “beyond compliance” opportunities to become a reality.</w:t>
      </w:r>
    </w:p>
    <w:p w14:paraId="29A6C34A" w14:textId="77777777" w:rsidR="00FF3E61" w:rsidRPr="0056111A" w:rsidRDefault="00FF3E61" w:rsidP="00FF3E61">
      <w:pPr>
        <w:spacing w:after="0" w:line="240" w:lineRule="auto"/>
        <w:rPr>
          <w:rFonts w:ascii="Arial" w:hAnsi="Arial" w:cs="Arial"/>
        </w:rPr>
      </w:pPr>
    </w:p>
    <w:tbl>
      <w:tblPr>
        <w:tblStyle w:val="TableGrid"/>
        <w:tblW w:w="0" w:type="auto"/>
        <w:tblLook w:val="04A0" w:firstRow="1" w:lastRow="0" w:firstColumn="1" w:lastColumn="0" w:noHBand="0" w:noVBand="1"/>
      </w:tblPr>
      <w:tblGrid>
        <w:gridCol w:w="2093"/>
        <w:gridCol w:w="7149"/>
      </w:tblGrid>
      <w:tr w:rsidR="00FF3E61" w:rsidRPr="0056111A" w14:paraId="4B9B0155" w14:textId="77777777" w:rsidTr="00ED4202">
        <w:tc>
          <w:tcPr>
            <w:tcW w:w="9242" w:type="dxa"/>
            <w:gridSpan w:val="2"/>
            <w:shd w:val="clear" w:color="auto" w:fill="D9D9D9" w:themeFill="background1" w:themeFillShade="D9"/>
          </w:tcPr>
          <w:p w14:paraId="7D9EAE8B" w14:textId="77777777" w:rsidR="00FF3E61" w:rsidRPr="0056111A" w:rsidRDefault="00FF3E61" w:rsidP="00ED4202">
            <w:pPr>
              <w:jc w:val="center"/>
              <w:rPr>
                <w:rFonts w:ascii="Arial" w:hAnsi="Arial" w:cs="Arial"/>
                <w:b/>
              </w:rPr>
            </w:pPr>
            <w:r w:rsidRPr="0056111A">
              <w:rPr>
                <w:rFonts w:ascii="Arial" w:hAnsi="Arial" w:cs="Arial"/>
                <w:b/>
              </w:rPr>
              <w:t>Key Dates</w:t>
            </w:r>
          </w:p>
        </w:tc>
      </w:tr>
      <w:tr w:rsidR="00F10B2D" w:rsidRPr="0056111A" w14:paraId="6662F388" w14:textId="77777777" w:rsidTr="00F10B2D">
        <w:tc>
          <w:tcPr>
            <w:tcW w:w="2093" w:type="dxa"/>
          </w:tcPr>
          <w:p w14:paraId="148EF705" w14:textId="77777777" w:rsidR="00F10B2D" w:rsidRPr="0056111A" w:rsidRDefault="00F10B2D" w:rsidP="0082031A">
            <w:pPr>
              <w:rPr>
                <w:rFonts w:ascii="Arial" w:hAnsi="Arial" w:cs="Arial"/>
              </w:rPr>
            </w:pPr>
            <w:r w:rsidRPr="0056111A">
              <w:rPr>
                <w:rFonts w:ascii="Arial" w:hAnsi="Arial" w:cs="Arial"/>
              </w:rPr>
              <w:t>April 2017</w:t>
            </w:r>
          </w:p>
        </w:tc>
        <w:tc>
          <w:tcPr>
            <w:tcW w:w="7149" w:type="dxa"/>
          </w:tcPr>
          <w:p w14:paraId="4BA725D3" w14:textId="77777777" w:rsidR="00F10B2D" w:rsidRPr="0056111A" w:rsidRDefault="00F10B2D" w:rsidP="0082031A">
            <w:pPr>
              <w:rPr>
                <w:rFonts w:ascii="Arial" w:hAnsi="Arial" w:cs="Arial"/>
              </w:rPr>
            </w:pPr>
            <w:r w:rsidRPr="0056111A">
              <w:rPr>
                <w:rFonts w:ascii="Arial" w:hAnsi="Arial" w:cs="Arial"/>
              </w:rPr>
              <w:t>First Sustainable Growth Agreements in place</w:t>
            </w:r>
          </w:p>
        </w:tc>
      </w:tr>
      <w:tr w:rsidR="00FF3E61" w:rsidRPr="0056111A" w14:paraId="3152364F" w14:textId="77777777" w:rsidTr="00ED4202">
        <w:tc>
          <w:tcPr>
            <w:tcW w:w="2093" w:type="dxa"/>
          </w:tcPr>
          <w:p w14:paraId="7D25871D" w14:textId="77777777" w:rsidR="00FF3E61" w:rsidRPr="0056111A" w:rsidRDefault="00F10B2D" w:rsidP="00ED4202">
            <w:pPr>
              <w:rPr>
                <w:rFonts w:ascii="Arial" w:hAnsi="Arial" w:cs="Arial"/>
              </w:rPr>
            </w:pPr>
            <w:r>
              <w:rPr>
                <w:rFonts w:ascii="Arial" w:hAnsi="Arial" w:cs="Arial"/>
              </w:rPr>
              <w:t>March 2018</w:t>
            </w:r>
          </w:p>
        </w:tc>
        <w:tc>
          <w:tcPr>
            <w:tcW w:w="7149" w:type="dxa"/>
          </w:tcPr>
          <w:p w14:paraId="23BD5428" w14:textId="77777777" w:rsidR="00FF3E61" w:rsidRPr="0056111A" w:rsidRDefault="00F10B2D" w:rsidP="00ED4202">
            <w:pPr>
              <w:rPr>
                <w:rFonts w:ascii="Arial" w:hAnsi="Arial" w:cs="Arial"/>
              </w:rPr>
            </w:pPr>
            <w:r>
              <w:rPr>
                <w:rFonts w:ascii="Arial" w:hAnsi="Arial" w:cs="Arial"/>
              </w:rPr>
              <w:t>First four S</w:t>
            </w:r>
            <w:r w:rsidR="00FF3E61" w:rsidRPr="0056111A">
              <w:rPr>
                <w:rFonts w:ascii="Arial" w:hAnsi="Arial" w:cs="Arial"/>
              </w:rPr>
              <w:t xml:space="preserve">ector plans </w:t>
            </w:r>
            <w:r>
              <w:rPr>
                <w:rFonts w:ascii="Arial" w:hAnsi="Arial" w:cs="Arial"/>
              </w:rPr>
              <w:t xml:space="preserve">agreed and </w:t>
            </w:r>
            <w:r w:rsidR="00FF3E61" w:rsidRPr="0056111A">
              <w:rPr>
                <w:rFonts w:ascii="Arial" w:hAnsi="Arial" w:cs="Arial"/>
              </w:rPr>
              <w:t>in place</w:t>
            </w:r>
          </w:p>
        </w:tc>
      </w:tr>
    </w:tbl>
    <w:p w14:paraId="39FA3BE2" w14:textId="77777777" w:rsidR="00FF3E61" w:rsidRPr="0056111A" w:rsidRDefault="00FF3E61" w:rsidP="00FF3E61">
      <w:pPr>
        <w:spacing w:after="0" w:line="240" w:lineRule="auto"/>
        <w:rPr>
          <w:rFonts w:ascii="Arial" w:hAnsi="Arial" w:cs="Arial"/>
        </w:rPr>
      </w:pPr>
    </w:p>
    <w:p w14:paraId="4FD81602" w14:textId="77777777" w:rsidR="000019FA" w:rsidRPr="0056111A" w:rsidRDefault="000019FA" w:rsidP="003C0F55">
      <w:pPr>
        <w:spacing w:after="0" w:line="240" w:lineRule="auto"/>
        <w:rPr>
          <w:rFonts w:ascii="Arial" w:hAnsi="Arial" w:cs="Arial"/>
          <w:b/>
        </w:rPr>
      </w:pPr>
    </w:p>
    <w:p w14:paraId="2FD11A74" w14:textId="77777777" w:rsidR="006D1ACC" w:rsidRPr="0056111A" w:rsidRDefault="006D1ACC" w:rsidP="003C0F55">
      <w:pPr>
        <w:spacing w:after="0" w:line="240" w:lineRule="auto"/>
        <w:rPr>
          <w:rFonts w:ascii="Arial" w:hAnsi="Arial" w:cs="Arial"/>
          <w:b/>
        </w:rPr>
      </w:pPr>
      <w:r w:rsidRPr="0056111A">
        <w:rPr>
          <w:rFonts w:ascii="Arial" w:hAnsi="Arial" w:cs="Arial"/>
          <w:b/>
        </w:rPr>
        <w:t>Regulatory Evidence Strategy</w:t>
      </w:r>
    </w:p>
    <w:p w14:paraId="03F091D0" w14:textId="77777777" w:rsidR="006D1ACC" w:rsidRDefault="006D1ACC" w:rsidP="003C0F55">
      <w:pPr>
        <w:spacing w:after="0" w:line="240" w:lineRule="auto"/>
        <w:rPr>
          <w:rFonts w:ascii="Arial" w:hAnsi="Arial" w:cs="Arial"/>
        </w:rPr>
      </w:pPr>
      <w:r w:rsidRPr="0056111A">
        <w:rPr>
          <w:rFonts w:ascii="Arial" w:hAnsi="Arial" w:cs="Arial"/>
        </w:rPr>
        <w:t xml:space="preserve">SEPA has developed a </w:t>
      </w:r>
      <w:hyperlink r:id="rId11" w:history="1">
        <w:r w:rsidRPr="0056111A">
          <w:rPr>
            <w:rStyle w:val="Hyperlink"/>
            <w:rFonts w:ascii="Arial" w:hAnsi="Arial" w:cs="Arial"/>
          </w:rPr>
          <w:t>new approach</w:t>
        </w:r>
      </w:hyperlink>
      <w:r w:rsidRPr="0056111A">
        <w:rPr>
          <w:rFonts w:ascii="Arial" w:hAnsi="Arial" w:cs="Arial"/>
        </w:rPr>
        <w:t xml:space="preserve"> to collecting information on the activities that it regulates.</w:t>
      </w:r>
      <w:r w:rsidR="002F01F9" w:rsidRPr="0056111A">
        <w:rPr>
          <w:rFonts w:ascii="Arial" w:hAnsi="Arial" w:cs="Arial"/>
        </w:rPr>
        <w:t xml:space="preserve">  This approach provides greater consistency and improves information available for making decisions.  It also ensures that operators take more responsibility for monitoring compliance with their licence conditions.  </w:t>
      </w:r>
      <w:r w:rsidR="00F10B2D">
        <w:rPr>
          <w:rFonts w:ascii="Arial" w:hAnsi="Arial" w:cs="Arial"/>
        </w:rPr>
        <w:t>SEPA is developing this approach on a sectoral basis which will involve discussions with affected operators.</w:t>
      </w:r>
    </w:p>
    <w:p w14:paraId="3F16787B" w14:textId="77777777" w:rsidR="00EB0895" w:rsidRPr="0056111A" w:rsidRDefault="00EB0895" w:rsidP="003C0F55">
      <w:pPr>
        <w:spacing w:after="0" w:line="240" w:lineRule="auto"/>
        <w:rPr>
          <w:rFonts w:ascii="Arial" w:hAnsi="Arial" w:cs="Arial"/>
        </w:rPr>
      </w:pPr>
    </w:p>
    <w:p w14:paraId="5C18EF0F" w14:textId="77777777" w:rsidR="006D1ACC" w:rsidRPr="0056111A" w:rsidRDefault="006D1ACC" w:rsidP="003C0F55">
      <w:pPr>
        <w:spacing w:after="0" w:line="240" w:lineRule="auto"/>
        <w:rPr>
          <w:rFonts w:ascii="Arial" w:hAnsi="Arial" w:cs="Arial"/>
        </w:rPr>
      </w:pPr>
    </w:p>
    <w:p w14:paraId="4397ED43" w14:textId="77777777" w:rsidR="003A14B3" w:rsidRPr="0056111A" w:rsidRDefault="003A14B3" w:rsidP="003A14B3">
      <w:pPr>
        <w:pStyle w:val="Default"/>
        <w:rPr>
          <w:sz w:val="22"/>
          <w:szCs w:val="22"/>
        </w:rPr>
      </w:pPr>
      <w:r w:rsidRPr="0056111A">
        <w:rPr>
          <w:b/>
          <w:bCs/>
          <w:sz w:val="22"/>
          <w:szCs w:val="22"/>
        </w:rPr>
        <w:t xml:space="preserve">Contacts </w:t>
      </w:r>
    </w:p>
    <w:p w14:paraId="367602E0" w14:textId="77777777" w:rsidR="003A14B3" w:rsidRPr="0056111A" w:rsidRDefault="003A14B3" w:rsidP="003A14B3">
      <w:pPr>
        <w:spacing w:after="0" w:line="240" w:lineRule="auto"/>
        <w:rPr>
          <w:rFonts w:ascii="Arial" w:hAnsi="Arial" w:cs="Arial"/>
        </w:rPr>
      </w:pPr>
      <w:r w:rsidRPr="0056111A">
        <w:rPr>
          <w:rFonts w:ascii="Arial" w:hAnsi="Arial" w:cs="Arial"/>
        </w:rPr>
        <w:t xml:space="preserve">If you would like any further information on any aspect of the BER Programme, please contact: </w:t>
      </w:r>
    </w:p>
    <w:p w14:paraId="6859158D" w14:textId="77777777" w:rsidR="003A14B3" w:rsidRPr="0056111A" w:rsidRDefault="003A14B3" w:rsidP="003A14B3">
      <w:pPr>
        <w:spacing w:after="0" w:line="240" w:lineRule="auto"/>
        <w:rPr>
          <w:rFonts w:ascii="Arial" w:hAnsi="Arial" w:cs="Arial"/>
        </w:rPr>
      </w:pPr>
      <w:r w:rsidRPr="0056111A">
        <w:rPr>
          <w:rFonts w:ascii="Arial" w:hAnsi="Arial" w:cs="Arial"/>
        </w:rPr>
        <w:t>Neil Ritchie – Scottish Government</w:t>
      </w:r>
      <w:r w:rsidRPr="0056111A">
        <w:rPr>
          <w:rFonts w:ascii="Arial" w:hAnsi="Arial" w:cs="Arial"/>
        </w:rPr>
        <w:tab/>
      </w:r>
      <w:r w:rsidR="00B43C8A">
        <w:rPr>
          <w:rFonts w:ascii="Arial" w:hAnsi="Arial" w:cs="Arial"/>
        </w:rPr>
        <w:tab/>
      </w:r>
      <w:hyperlink r:id="rId12" w:history="1">
        <w:r w:rsidRPr="0056111A">
          <w:rPr>
            <w:rStyle w:val="Hyperlink"/>
            <w:rFonts w:ascii="Arial" w:hAnsi="Arial" w:cs="Arial"/>
          </w:rPr>
          <w:t>neil.ritchie@gov.scot</w:t>
        </w:r>
      </w:hyperlink>
      <w:r w:rsidRPr="0056111A">
        <w:rPr>
          <w:rFonts w:ascii="Arial" w:hAnsi="Arial" w:cs="Arial"/>
        </w:rPr>
        <w:t xml:space="preserve"> </w:t>
      </w:r>
    </w:p>
    <w:p w14:paraId="3C9CBBAF" w14:textId="77777777" w:rsidR="003A14B3" w:rsidRPr="0056111A" w:rsidRDefault="003A14B3" w:rsidP="003A14B3">
      <w:pPr>
        <w:spacing w:after="0" w:line="240" w:lineRule="auto"/>
        <w:rPr>
          <w:rFonts w:ascii="Arial" w:hAnsi="Arial" w:cs="Arial"/>
        </w:rPr>
      </w:pPr>
      <w:r w:rsidRPr="0056111A">
        <w:rPr>
          <w:rFonts w:ascii="Arial" w:hAnsi="Arial" w:cs="Arial"/>
        </w:rPr>
        <w:t xml:space="preserve">Bridget Marshall – SEPA </w:t>
      </w:r>
      <w:r w:rsidRPr="0056111A">
        <w:rPr>
          <w:rFonts w:ascii="Arial" w:hAnsi="Arial" w:cs="Arial"/>
        </w:rPr>
        <w:tab/>
      </w:r>
      <w:r w:rsidRPr="0056111A">
        <w:rPr>
          <w:rFonts w:ascii="Arial" w:hAnsi="Arial" w:cs="Arial"/>
        </w:rPr>
        <w:tab/>
      </w:r>
      <w:r w:rsidRPr="0056111A">
        <w:rPr>
          <w:rFonts w:ascii="Arial" w:hAnsi="Arial" w:cs="Arial"/>
        </w:rPr>
        <w:tab/>
      </w:r>
      <w:hyperlink r:id="rId13" w:history="1">
        <w:r w:rsidRPr="0056111A">
          <w:rPr>
            <w:rStyle w:val="Hyperlink"/>
            <w:rFonts w:ascii="Arial" w:hAnsi="Arial" w:cs="Arial"/>
          </w:rPr>
          <w:t>bridget.marshall@sepa.org.uk</w:t>
        </w:r>
      </w:hyperlink>
      <w:r w:rsidRPr="0056111A">
        <w:rPr>
          <w:rFonts w:ascii="Arial" w:hAnsi="Arial" w:cs="Arial"/>
        </w:rPr>
        <w:t xml:space="preserve"> </w:t>
      </w:r>
    </w:p>
    <w:p w14:paraId="63D8ECE8" w14:textId="77777777" w:rsidR="00383D99" w:rsidRPr="0056111A" w:rsidRDefault="00383D99" w:rsidP="003C0F55">
      <w:pPr>
        <w:spacing w:after="0" w:line="240" w:lineRule="auto"/>
        <w:rPr>
          <w:rFonts w:ascii="Arial" w:hAnsi="Arial" w:cs="Arial"/>
        </w:rPr>
      </w:pPr>
    </w:p>
    <w:sectPr w:rsidR="00383D99" w:rsidRPr="005611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F10589"/>
    <w:multiLevelType w:val="hybridMultilevel"/>
    <w:tmpl w:val="2A80E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7D46D9"/>
    <w:multiLevelType w:val="hybridMultilevel"/>
    <w:tmpl w:val="77F432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32F"/>
    <w:rsid w:val="000019FA"/>
    <w:rsid w:val="0014127A"/>
    <w:rsid w:val="002E3B79"/>
    <w:rsid w:val="002F01F9"/>
    <w:rsid w:val="00383D99"/>
    <w:rsid w:val="003A14B3"/>
    <w:rsid w:val="003B32C5"/>
    <w:rsid w:val="003C0F55"/>
    <w:rsid w:val="004B0EBE"/>
    <w:rsid w:val="005035D0"/>
    <w:rsid w:val="0056111A"/>
    <w:rsid w:val="005714D1"/>
    <w:rsid w:val="00586CD1"/>
    <w:rsid w:val="0065732F"/>
    <w:rsid w:val="006D1ACC"/>
    <w:rsid w:val="006F6156"/>
    <w:rsid w:val="0070086F"/>
    <w:rsid w:val="00720481"/>
    <w:rsid w:val="00792939"/>
    <w:rsid w:val="007E2883"/>
    <w:rsid w:val="00884C50"/>
    <w:rsid w:val="00891B96"/>
    <w:rsid w:val="009B78BE"/>
    <w:rsid w:val="00A136E9"/>
    <w:rsid w:val="00AC2469"/>
    <w:rsid w:val="00B43C8A"/>
    <w:rsid w:val="00B45AD5"/>
    <w:rsid w:val="00BA1732"/>
    <w:rsid w:val="00BB54B9"/>
    <w:rsid w:val="00BC6053"/>
    <w:rsid w:val="00BE007F"/>
    <w:rsid w:val="00C574C5"/>
    <w:rsid w:val="00CE7716"/>
    <w:rsid w:val="00E91134"/>
    <w:rsid w:val="00E93746"/>
    <w:rsid w:val="00EB0895"/>
    <w:rsid w:val="00F10B2D"/>
    <w:rsid w:val="00FC6BA0"/>
    <w:rsid w:val="00FF3E61"/>
    <w:rsid w:val="00FF3E9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FD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D99"/>
    <w:rPr>
      <w:color w:val="0000FF"/>
      <w:u w:val="single"/>
    </w:rPr>
  </w:style>
  <w:style w:type="paragraph" w:styleId="ListParagraph">
    <w:name w:val="List Paragraph"/>
    <w:basedOn w:val="Normal"/>
    <w:uiPriority w:val="34"/>
    <w:qFormat/>
    <w:rsid w:val="005035D0"/>
    <w:pPr>
      <w:ind w:left="720"/>
      <w:contextualSpacing/>
    </w:pPr>
  </w:style>
  <w:style w:type="paragraph" w:styleId="BalloonText">
    <w:name w:val="Balloon Text"/>
    <w:basedOn w:val="Normal"/>
    <w:link w:val="BalloonTextChar"/>
    <w:uiPriority w:val="99"/>
    <w:semiHidden/>
    <w:unhideWhenUsed/>
    <w:rsid w:val="00503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5D0"/>
    <w:rPr>
      <w:rFonts w:ascii="Tahoma" w:hAnsi="Tahoma" w:cs="Tahoma"/>
      <w:sz w:val="16"/>
      <w:szCs w:val="16"/>
    </w:rPr>
  </w:style>
  <w:style w:type="paragraph" w:styleId="Caption">
    <w:name w:val="caption"/>
    <w:basedOn w:val="Normal"/>
    <w:next w:val="Normal"/>
    <w:uiPriority w:val="35"/>
    <w:unhideWhenUsed/>
    <w:qFormat/>
    <w:rsid w:val="003C0F55"/>
    <w:pPr>
      <w:spacing w:line="240" w:lineRule="auto"/>
    </w:pPr>
    <w:rPr>
      <w:b/>
      <w:bCs/>
      <w:color w:val="4F81BD" w:themeColor="accent1"/>
      <w:sz w:val="18"/>
      <w:szCs w:val="18"/>
    </w:rPr>
  </w:style>
  <w:style w:type="table" w:styleId="TableGrid">
    <w:name w:val="Table Grid"/>
    <w:basedOn w:val="TableNormal"/>
    <w:uiPriority w:val="59"/>
    <w:rsid w:val="00720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A14B3"/>
    <w:rPr>
      <w:sz w:val="16"/>
      <w:szCs w:val="16"/>
    </w:rPr>
  </w:style>
  <w:style w:type="paragraph" w:styleId="CommentText">
    <w:name w:val="annotation text"/>
    <w:basedOn w:val="Normal"/>
    <w:link w:val="CommentTextChar"/>
    <w:uiPriority w:val="99"/>
    <w:semiHidden/>
    <w:unhideWhenUsed/>
    <w:rsid w:val="003A14B3"/>
    <w:pPr>
      <w:spacing w:line="240" w:lineRule="auto"/>
    </w:pPr>
    <w:rPr>
      <w:sz w:val="20"/>
      <w:szCs w:val="20"/>
    </w:rPr>
  </w:style>
  <w:style w:type="character" w:customStyle="1" w:styleId="CommentTextChar">
    <w:name w:val="Comment Text Char"/>
    <w:basedOn w:val="DefaultParagraphFont"/>
    <w:link w:val="CommentText"/>
    <w:uiPriority w:val="99"/>
    <w:semiHidden/>
    <w:rsid w:val="003A14B3"/>
    <w:rPr>
      <w:sz w:val="20"/>
      <w:szCs w:val="20"/>
    </w:rPr>
  </w:style>
  <w:style w:type="paragraph" w:customStyle="1" w:styleId="Default">
    <w:name w:val="Default"/>
    <w:rsid w:val="003A14B3"/>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891B96"/>
    <w:rPr>
      <w:b/>
      <w:bCs/>
    </w:rPr>
  </w:style>
  <w:style w:type="character" w:customStyle="1" w:styleId="CommentSubjectChar">
    <w:name w:val="Comment Subject Char"/>
    <w:basedOn w:val="CommentTextChar"/>
    <w:link w:val="CommentSubject"/>
    <w:uiPriority w:val="99"/>
    <w:semiHidden/>
    <w:rsid w:val="00891B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90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epa.org.uk/media/163322/sepas_regulatory_evidence_strategy.pdf" TargetMode="External"/><Relationship Id="rId12" Type="http://schemas.openxmlformats.org/officeDocument/2006/relationships/hyperlink" Target="mailto:neil.ritchie@gov.scot" TargetMode="External"/><Relationship Id="rId13" Type="http://schemas.openxmlformats.org/officeDocument/2006/relationships/hyperlink" Target="mailto:bridget.marshall@sepa.org.uk"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v.scot/Publications/2017/01/5439" TargetMode="External"/><Relationship Id="rId6" Type="http://schemas.openxmlformats.org/officeDocument/2006/relationships/hyperlink" Target="http://www.sepa.org.uk/media/219244/enforcement-policy.pdf" TargetMode="External"/><Relationship Id="rId7" Type="http://schemas.openxmlformats.org/officeDocument/2006/relationships/hyperlink" Target="http://www.sepa.org.uk/media/219242/enforcement-guidance.pdf" TargetMode="External"/><Relationship Id="rId8" Type="http://schemas.openxmlformats.org/officeDocument/2006/relationships/hyperlink" Target="http://www.sepa.org.uk/media/219694/determining-the-amount-of-a-variable-monetary-penalty-consultation-document.pdf" TargetMode="External"/><Relationship Id="rId9" Type="http://schemas.openxmlformats.org/officeDocument/2006/relationships/hyperlink" Target="http://www.sepa.org.uk/media/219792/revision-the-sepa-compliance-assessment-scheme-summary-of-responses.pdf" TargetMode="External"/><Relationship Id="rId10" Type="http://schemas.openxmlformats.org/officeDocument/2006/relationships/hyperlink" Target="http://www.sepa.org.uk/media/219427/one-planet-prosperity-our-regulatory-strate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1212</Words>
  <Characters>6913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Deasley, Neil</dc:creator>
  <cp:lastModifiedBy>Jenny Grant</cp:lastModifiedBy>
  <cp:revision>2</cp:revision>
  <cp:lastPrinted>2017-02-27T12:25:00Z</cp:lastPrinted>
  <dcterms:created xsi:type="dcterms:W3CDTF">2017-03-08T07:24:00Z</dcterms:created>
  <dcterms:modified xsi:type="dcterms:W3CDTF">2017-03-08T07:24:00Z</dcterms:modified>
</cp:coreProperties>
</file>